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w:t>
      </w:r>
      <w:r>
        <w:t xml:space="preserve"> </w:t>
      </w:r>
      <w:r>
        <w:t xml:space="preserve">Philippines</w:t>
      </w:r>
      <w:r>
        <w:t xml:space="preserve"> </w:t>
      </w:r>
      <w:r>
        <w:t xml:space="preserve">Manila</w:t>
      </w:r>
    </w:p>
    <w:bookmarkStart w:id="33" w:name="X04e12dd1b0cc270384aea23d806a0a4029d8f9f"/>
    <w:p>
      <w:pPr>
        <w:pStyle w:val="Heading1"/>
      </w:pPr>
      <w:r>
        <w:t xml:space="preserve">Sales Report: Performance Summary of Academic Researcher in Philippines Manila Market (Q3 2023)</w:t>
      </w:r>
    </w:p>
    <w:bookmarkStart w:id="20" w:name="prepared-for"/>
    <w:p>
      <w:pPr>
        <w:pStyle w:val="Heading2"/>
      </w:pPr>
      <w:r>
        <w:t xml:space="preserve">Prepared for:</w:t>
      </w:r>
    </w:p>
    <w:p>
      <w:pPr>
        <w:pStyle w:val="FirstParagraph"/>
      </w:pPr>
      <w:r>
        <w:t xml:space="preserve">Leadership Team, Global Research Solutions Inc.</w:t>
      </w:r>
    </w:p>
    <w:bookmarkEnd w:id="20"/>
    <w:bookmarkStart w:id="32" w:name="date"/>
    <w:p>
      <w:pPr>
        <w:pStyle w:val="Heading2"/>
      </w:pPr>
      <w:r>
        <w:t xml:space="preserve">Date:</w:t>
      </w:r>
    </w:p>
    <w:p>
      <w:pPr>
        <w:pStyle w:val="FirstParagraph"/>
      </w:pPr>
      <w:r>
        <w:t xml:space="preserve">October 26, 2023</w:t>
      </w:r>
    </w:p>
    <w:bookmarkStart w:id="21" w:name="i.-executive-summary"/>
    <w:p>
      <w:pPr>
        <w:pStyle w:val="Heading3"/>
      </w:pPr>
      <w:r>
        <w:t xml:space="preserve">I. Executive Summary</w:t>
      </w:r>
    </w:p>
    <w:p>
      <w:pPr>
        <w:pStyle w:val="FirstParagraph"/>
      </w:pPr>
      <w:r>
        <w:t xml:space="preserve">This report details the performance of our Academic Researcher positioned in Manila, Philippines during Q3 2023. Serving as a critical sales and research nexus within the Philippine academic ecosystem, this role has generated significant revenue while strengthening institutional partnerships. The Academic Researcher achieved ₱18.7M in contract value (exceeding target by 23%) through strategic engagement with Manila-based universities, government agencies, and corporate R&amp;D departments. This report demonstrates how the Philippines Manila market has become a high-potential sales hub for academic research services.</w:t>
      </w:r>
    </w:p>
    <w:bookmarkEnd w:id="21"/>
    <w:bookmarkStart w:id="22" w:name="X713cb089c2c188ba69d7daba7d60eada6378fe4"/>
    <w:p>
      <w:pPr>
        <w:pStyle w:val="Heading3"/>
      </w:pPr>
      <w:r>
        <w:t xml:space="preserve">II. Market Context: Academic Research Landscape in Manila</w:t>
      </w:r>
    </w:p>
    <w:p>
      <w:pPr>
        <w:pStyle w:val="FirstParagraph"/>
      </w:pPr>
      <w:r>
        <w:t xml:space="preserve">The Philippines' higher education sector has undergone accelerated transformation since the implementation of the Enhanced Basic Education Act (2013) and the Magna Carta for Public Scientists (2017). Manila's academic institutions—comprising 64 universities including Ateneo de Manila, De La Salle University, and UP Diliman—now allocate 15-30% of research budgets toward external partnerships. This market shift created a unique sales opportunity where the Academic Researcher role bridges institutional needs with commercial solutions. Key drivers include:</w:t>
      </w:r>
    </w:p>
    <w:p>
      <w:pPr>
        <w:numPr>
          <w:ilvl w:val="0"/>
          <w:numId w:val="1001"/>
        </w:numPr>
        <w:pStyle w:val="Compact"/>
      </w:pPr>
      <w:r>
        <w:t xml:space="preserve">Department of Science and Technology (DOST) grants requiring industry collaboration</w:t>
      </w:r>
    </w:p>
    <w:p>
      <w:pPr>
        <w:numPr>
          <w:ilvl w:val="0"/>
          <w:numId w:val="1001"/>
        </w:numPr>
        <w:pStyle w:val="Compact"/>
      </w:pPr>
      <w:r>
        <w:t xml:space="preserve">Rising corporate investment in Philippine innovation (6.2% YoY growth)</w:t>
      </w:r>
    </w:p>
    <w:p>
      <w:pPr>
        <w:numPr>
          <w:ilvl w:val="0"/>
          <w:numId w:val="1001"/>
        </w:numPr>
        <w:pStyle w:val="Compact"/>
      </w:pPr>
      <w:r>
        <w:t xml:space="preserve">Increased demand for localized research on ASEAN challenges (climate resilience, digital health)</w:t>
      </w:r>
    </w:p>
    <w:bookmarkEnd w:id="22"/>
    <w:bookmarkStart w:id="23" w:name="X13428a42bb4483fec4280bd907a5ce78bc7456d"/>
    <w:p>
      <w:pPr>
        <w:pStyle w:val="Heading3"/>
      </w:pPr>
      <w:r>
        <w:t xml:space="preserve">III. Sales Performance Breakdown (Manila, Q3 2023)</w:t>
      </w:r>
    </w:p>
    <w:p>
      <w:pPr>
        <w:pStyle w:val="FirstParagraph"/>
      </w:pPr>
      <w:r>
        <w:t xml:space="preserve">The Manila-based Academic Researcher executed a targeted sales strategy focused on three verticals: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Contracts Secured</w:t>
            </w:r>
          </w:p>
        </w:tc>
        <w:tc>
          <w:tcPr/>
          <w:p>
            <w:pPr>
              <w:pStyle w:val="Compact"/>
              <w:jc w:val="left"/>
            </w:pPr>
            <w:r>
              <w:t xml:space="preserve">Revenue Generated (₱)</w:t>
            </w:r>
          </w:p>
        </w:tc>
        <w:tc>
          <w:tcPr/>
          <w:p>
            <w:pPr>
              <w:pStyle w:val="Compact"/>
              <w:jc w:val="left"/>
            </w:pPr>
            <w:r>
              <w:t xml:space="preserve">Key Projects</w:t>
            </w:r>
          </w:p>
        </w:tc>
      </w:tr>
      <w:tr>
        <w:tc>
          <w:tcPr/>
          <w:p>
            <w:pPr>
              <w:pStyle w:val="Compact"/>
              <w:jc w:val="left"/>
            </w:pPr>
            <w:r>
              <w:t xml:space="preserve">Universities (e.g., UP, Ateneo)</w:t>
            </w:r>
          </w:p>
        </w:tc>
        <w:tc>
          <w:tcPr/>
          <w:p>
            <w:pPr>
              <w:pStyle w:val="Compact"/>
              <w:jc w:val="left"/>
            </w:pPr>
            <w:r>
              <w:t xml:space="preserve">7</w:t>
            </w:r>
          </w:p>
        </w:tc>
        <w:tc>
          <w:tcPr/>
          <w:p>
            <w:pPr>
              <w:pStyle w:val="Compact"/>
              <w:jc w:val="left"/>
            </w:pPr>
            <w:r>
              <w:t xml:space="preserve">8.4M</w:t>
            </w:r>
          </w:p>
        </w:tc>
        <w:tc>
          <w:tcPr/>
          <w:p>
            <w:pPr>
              <w:pStyle w:val="Compact"/>
              <w:jc w:val="left"/>
            </w:pPr>
            <w:r>
              <w:t xml:space="preserve">Digital Agriculture Analytics, Coastal Erosion Modeling</w:t>
            </w:r>
          </w:p>
        </w:tc>
      </w:tr>
      <w:tr>
        <w:tc>
          <w:tcPr/>
          <w:p>
            <w:pPr>
              <w:pStyle w:val="Compact"/>
              <w:jc w:val="left"/>
            </w:pPr>
            <w:r>
              <w:t xml:space="preserve">Government Agencies (DOST, DOE)</w:t>
            </w:r>
          </w:p>
        </w:tc>
        <w:tc>
          <w:tcPr/>
          <w:p>
            <w:pPr>
              <w:pStyle w:val="Compact"/>
              <w:jc w:val="left"/>
            </w:pPr>
            <w:r>
              <w:t xml:space="preserve">3</w:t>
            </w:r>
          </w:p>
        </w:tc>
        <w:tc>
          <w:tcPr>
            <w:gridSpan w:val="2"/>
          </w:tcPr>
          <w:p>
            <w:pPr>
              <w:pStyle w:val="Compact"/>
              <w:jc w:val="left"/>
            </w:pPr>
            <w:r>
              <w:t xml:space="preserve">5.1M (including 2 multi-year framework agreements)</w:t>
            </w:r>
          </w:p>
        </w:tc>
      </w:tr>
      <w:tr>
        <w:tc>
          <w:tcPr/>
          <w:p>
            <w:pPr>
              <w:pStyle w:val="Compact"/>
              <w:jc w:val="left"/>
            </w:pPr>
            <w:r>
              <w:t xml:space="preserve">CORPORATE R&amp;D Units (e.g., Ayala Corp, Jollibee Labs)</w:t>
            </w:r>
          </w:p>
        </w:tc>
        <w:tc>
          <w:tcPr/>
          <w:p>
            <w:pPr>
              <w:pStyle w:val="Compact"/>
              <w:jc w:val="left"/>
            </w:pPr>
            <w:r>
              <w:t xml:space="preserve">4</w:t>
            </w:r>
          </w:p>
        </w:tc>
        <w:tc>
          <w:tcPr/>
          <w:p>
            <w:pPr>
              <w:pStyle w:val="Compact"/>
              <w:jc w:val="left"/>
            </w:pPr>
            <w:r>
              <w:t xml:space="preserve">5.2M</w:t>
            </w:r>
          </w:p>
        </w:tc>
        <w:tc>
          <w:tcPr/>
          <w:p>
            <w:pPr>
              <w:pStyle w:val="Compact"/>
              <w:jc w:val="left"/>
            </w:pPr>
            <w:r>
              <w:t xml:space="preserve">Sustainable Packaging Development, AI-Powered Healthcare Diagnostics</w:t>
            </w:r>
          </w:p>
        </w:tc>
      </w:tr>
    </w:tbl>
    <w:p>
      <w:pPr>
        <w:pStyle w:val="BodyText"/>
      </w:pPr>
      <w:r>
        <w:t xml:space="preserve">Notable achievements include:</w:t>
      </w:r>
    </w:p>
    <w:p>
      <w:pPr>
        <w:numPr>
          <w:ilvl w:val="0"/>
          <w:numId w:val="1002"/>
        </w:numPr>
        <w:pStyle w:val="Compact"/>
      </w:pPr>
      <w:r>
        <w:t xml:space="preserve">Closing the ₱3.7M "Manila Climate Resilience Initiative" with DOST—a first-of-its-kind public-private research partnership in Southeast Asia</w:t>
      </w:r>
    </w:p>
    <w:p>
      <w:pPr>
        <w:numPr>
          <w:ilvl w:val="0"/>
          <w:numId w:val="1002"/>
        </w:numPr>
        <w:pStyle w:val="Compact"/>
      </w:pPr>
      <w:r>
        <w:t xml:space="preserve">Securing 42% of all university R&amp;D contracts in Metro Manila through relationship-based sales strategy</w:t>
      </w:r>
    </w:p>
    <w:p>
      <w:pPr>
        <w:numPr>
          <w:ilvl w:val="0"/>
          <w:numId w:val="1002"/>
        </w:numPr>
        <w:pStyle w:val="Compact"/>
      </w:pPr>
      <w:r>
        <w:t xml:space="preserve">Developing a localized sales playbook for Philippine academic institutions, adopted company-wide</w:t>
      </w:r>
    </w:p>
    <w:bookmarkEnd w:id="23"/>
    <w:bookmarkStart w:id="26" w:name="X421b77870c35eda3ccbc132a85eeb3030db3330"/>
    <w:p>
      <w:pPr>
        <w:pStyle w:val="Heading3"/>
      </w:pPr>
      <w:r>
        <w:t xml:space="preserve">IV. Strategic Sales Approach in Philippines Manila Context</w:t>
      </w:r>
    </w:p>
    <w:p>
      <w:pPr>
        <w:pStyle w:val="FirstParagraph"/>
      </w:pPr>
      <w:r>
        <w:t xml:space="preserve">The Academic Researcher's success stems from culturally nuanced sales methodology tailored to Manila's academic environment:</w:t>
      </w:r>
    </w:p>
    <w:bookmarkStart w:id="24" w:name="X5ddae980242c2a8f434c7c1a76cd20ed4d5a5ba"/>
    <w:p>
      <w:pPr>
        <w:pStyle w:val="Heading4"/>
      </w:pPr>
      <w:r>
        <w:t xml:space="preserve">A. Relationship Capitalization (Not Just Transactions)</w:t>
      </w:r>
    </w:p>
    <w:p>
      <w:pPr>
        <w:pStyle w:val="FirstParagraph"/>
      </w:pPr>
      <w:r>
        <w:t xml:space="preserve">Unlike generic sales approaches, the role prioritized long-term relationship building through:</w:t>
      </w:r>
    </w:p>
    <w:p>
      <w:pPr>
        <w:numPr>
          <w:ilvl w:val="0"/>
          <w:numId w:val="1003"/>
        </w:numPr>
        <w:pStyle w:val="Compact"/>
      </w:pPr>
      <w:r>
        <w:t xml:space="preserve">Hosting monthly "Research Ecosystem Roundtables" at Manila-based universities</w:t>
      </w:r>
    </w:p>
    <w:p>
      <w:pPr>
        <w:numPr>
          <w:ilvl w:val="0"/>
          <w:numId w:val="1003"/>
        </w:numPr>
        <w:pStyle w:val="Compact"/>
      </w:pPr>
      <w:r>
        <w:t xml:space="preserve">Co-authoring 3 publications with Ateneo de Manila faculty to establish credibility</w:t>
      </w:r>
    </w:p>
    <w:p>
      <w:pPr>
        <w:numPr>
          <w:ilvl w:val="0"/>
          <w:numId w:val="1003"/>
        </w:numPr>
        <w:pStyle w:val="Compact"/>
      </w:pPr>
      <w:r>
        <w:t xml:space="preserve">Customizing proposals around Philippine National Research Agenda (NRA) priorities</w:t>
      </w:r>
    </w:p>
    <w:bookmarkEnd w:id="24"/>
    <w:bookmarkStart w:id="25" w:name="b.-localized-value-proposition"/>
    <w:p>
      <w:pPr>
        <w:pStyle w:val="Heading4"/>
      </w:pPr>
      <w:r>
        <w:t xml:space="preserve">B. Localized Value Proposition</w:t>
      </w:r>
    </w:p>
    <w:p>
      <w:pPr>
        <w:pStyle w:val="FirstParagraph"/>
      </w:pPr>
      <w:r>
        <w:t xml:space="preserve">The sales pitch explicitly addressed Manila-specific pain points:</w:t>
      </w:r>
    </w:p>
    <w:p>
      <w:pPr>
        <w:numPr>
          <w:ilvl w:val="0"/>
          <w:numId w:val="1004"/>
        </w:numPr>
        <w:pStyle w:val="Compact"/>
      </w:pPr>
      <w:r>
        <w:rPr>
          <w:bCs/>
          <w:b/>
        </w:rPr>
        <w:t xml:space="preserve">For Universities:</w:t>
      </w:r>
      <w:r>
        <w:t xml:space="preserve"> </w:t>
      </w:r>
      <w:r>
        <w:t xml:space="preserve">"We reduce your grant application timeline by 37% through our DOST-compliant proposal templates"</w:t>
      </w:r>
    </w:p>
    <w:p>
      <w:pPr>
        <w:numPr>
          <w:ilvl w:val="0"/>
          <w:numId w:val="1004"/>
        </w:numPr>
        <w:pStyle w:val="Compact"/>
      </w:pPr>
      <w:r>
        <w:rPr>
          <w:bCs/>
          <w:b/>
        </w:rPr>
        <w:t xml:space="preserve">For Government:</w:t>
      </w:r>
      <w:r>
        <w:t xml:space="preserve"> </w:t>
      </w:r>
      <w:r>
        <w:t xml:space="preserve">"Our research delivers actionable data for Philippines' Climate Change Act implementation"</w:t>
      </w:r>
    </w:p>
    <w:p>
      <w:pPr>
        <w:numPr>
          <w:ilvl w:val="0"/>
          <w:numId w:val="1004"/>
        </w:numPr>
        <w:pStyle w:val="Compact"/>
      </w:pPr>
      <w:r>
        <w:rPr>
          <w:bCs/>
          <w:b/>
        </w:rPr>
        <w:t xml:space="preserve">For Corporates:</w:t>
      </w:r>
      <w:r>
        <w:t xml:space="preserve"> </w:t>
      </w:r>
      <w:r>
        <w:t xml:space="preserve">"Local field testing at Manila urban centers reduces your product adaptation costs by 28%"</w:t>
      </w:r>
    </w:p>
    <w:bookmarkEnd w:id="25"/>
    <w:bookmarkEnd w:id="26"/>
    <w:bookmarkStart w:id="27" w:name="v.-challenges-mitigation-strategies"/>
    <w:p>
      <w:pPr>
        <w:pStyle w:val="Heading3"/>
      </w:pPr>
      <w:r>
        <w:t xml:space="preserve">V. Challenges &amp; Mitigation Strategies</w:t>
      </w:r>
    </w:p>
    <w:p>
      <w:pPr>
        <w:pStyle w:val="FirstParagraph"/>
      </w:pPr>
      <w:r>
        <w:t xml:space="preserve">Operating in the Philippines Manila market presented unique hurdles, all successfully navigated: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Mitigation Strategy</w:t>
            </w:r>
          </w:p>
        </w:tc>
        <w:tc>
          <w:tcPr/>
          <w:p>
            <w:pPr>
              <w:pStyle w:val="Compact"/>
              <w:jc w:val="left"/>
            </w:pPr>
            <w:r>
              <w:t xml:space="preserve">Result</w:t>
            </w:r>
          </w:p>
        </w:tc>
      </w:tr>
      <w:tr>
        <w:tc>
          <w:tcPr/>
          <w:p>
            <w:pPr>
              <w:pStyle w:val="Compact"/>
              <w:jc w:val="left"/>
            </w:pPr>
            <w:r>
              <w:t xml:space="preserve">Cultural Perception of "Sales" in Academia</w:t>
            </w:r>
          </w:p>
        </w:tc>
        <w:tc>
          <w:tcPr/>
          <w:p>
            <w:pPr>
              <w:pStyle w:val="Compact"/>
              <w:jc w:val="left"/>
            </w:pPr>
            <w:r>
              <w:t xml:space="preserve">Reframed role as "Research Partnership Manager"</w:t>
            </w:r>
          </w:p>
        </w:tc>
        <w:tc>
          <w:tcPr/>
          <w:p>
            <w:pPr>
              <w:pStyle w:val="Compact"/>
              <w:jc w:val="left"/>
            </w:pPr>
            <w:r>
              <w:t xml:space="preserve">Increased university collaboration acceptance by 68%</w:t>
            </w:r>
          </w:p>
        </w:tc>
      </w:tr>
      <w:tr>
        <w:tc>
          <w:tcPr/>
          <w:p>
            <w:pPr>
              <w:pStyle w:val="Compact"/>
              <w:jc w:val="left"/>
            </w:pPr>
            <w:r>
              <w:t xml:space="preserve">Bureaucratic Procurement Cycles</w:t>
            </w:r>
          </w:p>
        </w:tc>
        <w:tc>
          <w:tcPr>
            <w:gridSpan w:val="2"/>
          </w:tcPr>
          <w:p>
            <w:pPr>
              <w:pStyle w:val="Compact"/>
              <w:jc w:val="left"/>
            </w:pPr>
            <w:r>
              <w:t xml:space="preserve">Developed DOST-compliant sales framework with government procurement specialists</w:t>
            </w:r>
          </w:p>
        </w:tc>
      </w:tr>
      <w:tr>
        <w:tc>
          <w:tcPr/>
          <w:p>
            <w:pPr>
              <w:pStyle w:val="Compact"/>
              <w:jc w:val="left"/>
            </w:pPr>
            <w:r>
              <w:t xml:space="preserve">Competition from Local Research Firms</w:t>
            </w:r>
          </w:p>
        </w:tc>
        <w:tc>
          <w:tcPr/>
          <w:p>
            <w:pPr>
              <w:pStyle w:val="Compact"/>
              <w:jc w:val="left"/>
            </w:pPr>
            <w:r>
              <w:t xml:space="preserve">Leveraged global research infrastructure for cost advantages (e.g., 40% lower cloud computing costs)</w:t>
            </w:r>
          </w:p>
        </w:tc>
        <w:tc>
          <w:tcPr/>
          <w:p>
            <w:pPr>
              <w:pStyle w:val="Compact"/>
              <w:jc w:val="left"/>
            </w:pPr>
            <w:r>
              <w:t xml:space="preserve">Won 3 of 5 major bids against local competitors</w:t>
            </w:r>
          </w:p>
        </w:tc>
      </w:tr>
    </w:tbl>
    <w:bookmarkEnd w:id="27"/>
    <w:bookmarkStart w:id="28" w:name="X83a410628f4264f46871b51b4e7a89591f8d640"/>
    <w:p>
      <w:pPr>
        <w:pStyle w:val="Heading3"/>
      </w:pPr>
      <w:r>
        <w:t xml:space="preserve">VI. Market Intelligence: Philippines Manila Opportunities</w:t>
      </w:r>
    </w:p>
    <w:p>
      <w:pPr>
        <w:pStyle w:val="FirstParagraph"/>
      </w:pPr>
      <w:r>
        <w:t xml:space="preserve">Based on Q3 engagements, the following emerging opportunities were identified for expansion:</w:t>
      </w:r>
    </w:p>
    <w:p>
      <w:pPr>
        <w:numPr>
          <w:ilvl w:val="0"/>
          <w:numId w:val="1005"/>
        </w:numPr>
        <w:pStyle w:val="Compact"/>
      </w:pPr>
      <w:r>
        <w:rPr>
          <w:bCs/>
          <w:b/>
        </w:rPr>
        <w:t xml:space="preserve">Health Research Expansion:</w:t>
      </w:r>
      <w:r>
        <w:t xml:space="preserve"> </w:t>
      </w:r>
      <w:r>
        <w:t xml:space="preserve">72% of Manila universities now prioritizing pandemic resilience research (new sales opportunity: ₱12.5M potential)</w:t>
      </w:r>
    </w:p>
    <w:p>
      <w:pPr>
        <w:numPr>
          <w:ilvl w:val="0"/>
          <w:numId w:val="1005"/>
        </w:numPr>
        <w:pStyle w:val="Compact"/>
      </w:pPr>
      <w:r>
        <w:rPr>
          <w:bCs/>
          <w:b/>
        </w:rPr>
        <w:t xml:space="preserve">Digital Transformation Demand:</w:t>
      </w:r>
      <w:r>
        <w:t xml:space="preserve"> </w:t>
      </w:r>
      <w:r>
        <w:t xml:space="preserve">DOST's "Digital Philippines 2030" initiative driving corporate R&amp;D budgets upward</w:t>
      </w:r>
    </w:p>
    <w:p>
      <w:pPr>
        <w:numPr>
          <w:ilvl w:val="0"/>
          <w:numId w:val="1005"/>
        </w:numPr>
        <w:pStyle w:val="Compact"/>
      </w:pPr>
      <w:r>
        <w:rPr>
          <w:bCs/>
          <w:b/>
        </w:rPr>
        <w:t xml:space="preserve">ESG Compliance Services:</w:t>
      </w:r>
      <w:r>
        <w:t xml:space="preserve"> </w:t>
      </w:r>
      <w:r>
        <w:t xml:space="preserve">Manila-based corporations require academic validation for sustainability claims (new sales vertical)</w:t>
      </w:r>
    </w:p>
    <w:bookmarkEnd w:id="28"/>
    <w:bookmarkStart w:id="29" w:name="X73d355e34fb3ebefb8d727b3d56aa98eb146af2"/>
    <w:p>
      <w:pPr>
        <w:pStyle w:val="Heading3"/>
      </w:pPr>
      <w:r>
        <w:t xml:space="preserve">VII. Strategic Recommendations for Q4 2023</w:t>
      </w:r>
    </w:p>
    <w:p>
      <w:pPr>
        <w:pStyle w:val="FirstParagraph"/>
      </w:pPr>
      <w:r>
        <w:t xml:space="preserve">To capitalize on Manila's growth trajectory, we recommend:</w:t>
      </w:r>
    </w:p>
    <w:p>
      <w:pPr>
        <w:numPr>
          <w:ilvl w:val="0"/>
          <w:numId w:val="1006"/>
        </w:numPr>
        <w:pStyle w:val="Compact"/>
      </w:pPr>
      <w:r>
        <w:t xml:space="preserve">Allocate ₱5M for specialized training in Philippine regulatory frameworks (DOST, SEC compliance)</w:t>
      </w:r>
    </w:p>
    <w:p>
      <w:pPr>
        <w:numPr>
          <w:ilvl w:val="0"/>
          <w:numId w:val="1006"/>
        </w:numPr>
        <w:pStyle w:val="Compact"/>
      </w:pPr>
      <w:r>
        <w:t xml:space="preserve">Create a dedicated "Manila Academic Research Sales Team" to scale current success</w:t>
      </w:r>
    </w:p>
    <w:p>
      <w:pPr>
        <w:numPr>
          <w:ilvl w:val="0"/>
          <w:numId w:val="1006"/>
        </w:numPr>
        <w:pStyle w:val="Compact"/>
      </w:pPr>
      <w:r>
        <w:t xml:space="preserve">Partner with Philippine Academy of Science and Technology for joint research marketing</w:t>
      </w:r>
    </w:p>
    <w:p>
      <w:pPr>
        <w:numPr>
          <w:ilvl w:val="0"/>
          <w:numId w:val="1006"/>
        </w:numPr>
        <w:pStyle w:val="Compact"/>
      </w:pPr>
      <w:r>
        <w:t xml:space="preserve">Develop Philippines-specific case studies highlighting Manila-based project outcomes</w:t>
      </w:r>
    </w:p>
    <w:bookmarkEnd w:id="29"/>
    <w:bookmarkStart w:id="30" w:name="X06f4e05b7c94d376c62f985a9a17278aae1dd20"/>
    <w:p>
      <w:pPr>
        <w:pStyle w:val="Heading3"/>
      </w:pPr>
      <w:r>
        <w:t xml:space="preserve">VIII. Conclusion: The Academic Researcher as a Sales Catalyst in Manila</w:t>
      </w:r>
    </w:p>
    <w:p>
      <w:pPr>
        <w:pStyle w:val="FirstParagraph"/>
      </w:pPr>
      <w:r>
        <w:t xml:space="preserve">The performance of our Manila-based Academic Researcher demonstrates that in the Philippine context, research expertise directly translates to sales effectiveness. By deeply understanding the academic culture and regulatory environment of Philippines Manila, this role has transformed from a support function into a revenue engine—proving that academic credibility is the most powerful sales asset in Southeast Asia's knowledge economy. With strategic scaling, our Manila office can become the regional hub for academic research sales, driving 40%+ of all Southeast Asian research contracts by Q2 2024.</w:t>
      </w:r>
    </w:p>
    <w:p>
      <w:pPr>
        <w:pStyle w:val="BodyText"/>
      </w:pPr>
      <w:r>
        <w:t xml:space="preserve">As we continue to invest in this unique role, it reinforces our commitment to the Philippines market: where Academic Researcher excellence fuels sustainable sales growth in Manila's rapidly evolving innovation landscape.</w:t>
      </w:r>
    </w:p>
    <w:bookmarkEnd w:id="30"/>
    <w:bookmarkStart w:id="31" w:name="appendix-key-performance-indicators"/>
    <w:p>
      <w:pPr>
        <w:pStyle w:val="Heading3"/>
      </w:pPr>
      <w:r>
        <w:t xml:space="preserve">Appendix: Key Performance Indicators</w:t>
      </w:r>
    </w:p>
    <w:p>
      <w:pPr>
        <w:pStyle w:val="FirstParagraph"/>
      </w:pPr>
      <w:r>
        <w:t xml:space="preserve">KPI</w:t>
      </w:r>
    </w:p>
    <w:p>
      <w:pPr>
        <w:pStyle w:val="BodyText"/>
      </w:pPr>
      <w:r>
        <w:t xml:space="preserve">Target</w:t>
      </w:r>
    </w:p>
    <w:p>
      <w:pPr>
        <w:pStyle w:val="BodyText"/>
      </w:pPr>
      <w:r>
        <w:t xml:space="preserve">Actual (Q3)</w:t>
      </w:r>
    </w:p>
    <w:p>
      <w:pPr>
        <w:pStyle w:val="BodyText"/>
      </w:pPr>
      <w:r>
        <w:t xml:space="preserve">Variance</w:t>
      </w:r>
    </w:p>
    <w:p>
      <w:pPr>
        <w:pStyle w:val="BodyText"/>
      </w:pPr>
      <w:r>
        <w:t xml:space="preserve">Revenue Generated</w:t>
      </w:r>
    </w:p>
    <w:p>
      <w:pPr>
        <w:pStyle w:val="BodyText"/>
      </w:pPr>
      <w:r>
        <w:t xml:space="preserve">₱15.2M</w:t>
      </w:r>
    </w:p>
    <w:p>
      <w:pPr>
        <w:pStyle w:val="BodyText"/>
      </w:pPr>
      <w:r>
        <w:t xml:space="preserve">₱18.7M</w:t>
      </w:r>
    </w:p>
    <w:p>
      <w:pPr>
        <w:pStyle w:val="BodyText"/>
      </w:pPr>
      <w:r>
        <w:t xml:space="preserve">+23%</w:t>
      </w:r>
    </w:p>
    <w:p>
      <w:pPr>
        <w:pStyle w:val="BodyText"/>
      </w:pPr>
      <w:r>
        <w:t xml:space="preserve">New University Partnerships</w:t>
      </w:r>
    </w:p>
    <w:p>
      <w:pPr>
        <w:pStyle w:val="BodyText"/>
      </w:pPr>
      <w:r>
        <w:t xml:space="preserve">5</w:t>
      </w:r>
    </w:p>
    <w:p>
      <w:pPr>
        <w:pStyle w:val="BodyText"/>
      </w:pPr>
      <w:r>
        <w:t xml:space="preserve">7</w:t>
      </w:r>
    </w:p>
    <w:p>
      <w:pPr>
        <w:pStyle w:val="BodyText"/>
      </w:pPr>
      <w:r>
        <w:t xml:space="preserve">+40%</w:t>
      </w:r>
    </w:p>
    <w:p>
      <w:pPr>
        <w:pStyle w:val="BodyText"/>
      </w:pPr>
      <w:r>
        <w:t xml:space="preserve">85%</w:t>
      </w:r>
    </w:p>
    <w:p>
      <w:pPr>
        <w:pStyle w:val="BodyText"/>
      </w:pPr>
      <w:r>
        <w:t xml:space="preserve">92%</w:t>
      </w:r>
    </w:p>
    <w:p>
      <w:pPr>
        <w:pStyle w:val="BodyText"/>
      </w:pPr>
      <w:r>
        <w:t xml:space="preserve">Note: All figures in Philippine Peso (₱). Exchange rate used: 1 USD = ₱57.30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 Philippines Manila</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