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Impact</w:t>
      </w:r>
      <w:r>
        <w:t xml:space="preserve"> </w:t>
      </w:r>
      <w:r>
        <w:t xml:space="preserve">in</w:t>
      </w:r>
      <w:r>
        <w:t xml:space="preserve"> </w:t>
      </w:r>
      <w:r>
        <w:t xml:space="preserve">Qatar</w:t>
      </w:r>
      <w:r>
        <w:t xml:space="preserve"> </w:t>
      </w:r>
      <w:r>
        <w:t xml:space="preserve">Doha</w:t>
      </w:r>
    </w:p>
    <w:bookmarkStart w:id="27" w:name="X6eea46f859f969f499414e1147408e8c1644f64"/>
    <w:p>
      <w:pPr>
        <w:pStyle w:val="Heading1"/>
      </w:pPr>
      <w:r>
        <w:t xml:space="preserve">Annual Sales Report: Strategic Impact of Academic Researchers in Qatar Doha (2023-2024)</w:t>
      </w:r>
    </w:p>
    <w:bookmarkStart w:id="20" w:name="executive-summary"/>
    <w:p>
      <w:pPr>
        <w:pStyle w:val="Heading2"/>
      </w:pPr>
      <w:r>
        <w:t xml:space="preserve">Executive Summary</w:t>
      </w:r>
    </w:p>
    <w:p>
      <w:pPr>
        <w:pStyle w:val="FirstParagraph"/>
      </w:pPr>
      <w:r>
        <w:t xml:space="preserve">This Sales Report details the tangible economic and intellectual value generated by Academic Researchers operating within Qatar Doha’s knowledge-driven ecosystem. As a critical component of Qatar National Vision 2030, our research initiatives have successfully translated academic expertise into high-impact commercial solutions, partnerships, and national development outcomes. The report demonstrates how Academic Researchers function as strategic sales partners—identifying market needs, securing funding, and delivering innovative solutions aligned with Qatar’s priorities in healthcare, energy sustainability, and digital transformation. In the dynamic environment of Doha’s Education City and Research Zone, our researchers have driven a 37% year-on-year increase in revenue-linked research outcomes.</w:t>
      </w:r>
    </w:p>
    <w:bookmarkEnd w:id="20"/>
    <w:bookmarkStart w:id="21" w:name="X092284d7b7ba264db74347c380ca9996b455ea0"/>
    <w:p>
      <w:pPr>
        <w:pStyle w:val="Heading2"/>
      </w:pPr>
      <w:r>
        <w:t xml:space="preserve">Strategic Positioning: Academic Researchers as Sales Catalysts</w:t>
      </w:r>
    </w:p>
    <w:p>
      <w:pPr>
        <w:pStyle w:val="FirstParagraph"/>
      </w:pPr>
      <w:r>
        <w:t xml:space="preserve">The role of an Academic Researcher in Qatar Doha transcends traditional scholarship. Today’s researcher operates as a dual-purpose professional: advancing scientific knowledge while simultaneously identifying and fulfilling commercial and societal market needs. In the context of Qatar’s aggressive investment in research infrastructure—exemplified by the Qatar National Research Fund (QNRF) and partnerships with institutions like Hamad bin Khalifa University (HBKU)—Academic Researchers act as frontline sales representatives for Qatar’s intellectual capital. Their work directly supports national goals of diversifying beyond hydrocarbons through innovation-led growth.</w:t>
      </w:r>
    </w:p>
    <w:p>
      <w:pPr>
        <w:pStyle w:val="BodyText"/>
      </w:pPr>
      <w:r>
        <w:t xml:space="preserve">Key metrics underscore this shift: 82% of researchers in Doha now engage in industry collaboration as part of their core research mandate, converting academic insights into commercially viable projects. This represents a strategic evolution where the "product" is knowledge itself, sold to government entities, private enterprises, and international bodies through evidence-based proposals and demonstrable ROI.</w:t>
      </w:r>
    </w:p>
    <w:bookmarkEnd w:id="21"/>
    <w:bookmarkStart w:id="22" w:name="X03ac72e49b7a757d924056b4fef7e17b0691825"/>
    <w:p>
      <w:pPr>
        <w:pStyle w:val="Heading2"/>
      </w:pPr>
      <w:r>
        <w:t xml:space="preserve">Qatar Doha Market Performance: Quantifiable Impact</w:t>
      </w:r>
    </w:p>
    <w:p>
      <w:pPr>
        <w:pStyle w:val="FirstParagraph"/>
      </w:pPr>
      <w:r>
        <w:t xml:space="preserve">The following table summarizes key sales-driven outcomes achieved by Academic Researchers across Doha in the fiscal year 2023-2024:</w:t>
      </w:r>
    </w:p>
    <w:p>
      <w:pPr>
        <w:pStyle w:val="BodyText"/>
      </w:pPr>
      <w:r>
        <w:t xml:space="preserve">Project Area</w:t>
      </w:r>
    </w:p>
    <w:p>
      <w:pPr>
        <w:pStyle w:val="BodyText"/>
      </w:pPr>
      <w:r>
        <w:t xml:space="preserve">Key Stakeholder Partner</w:t>
      </w:r>
    </w:p>
    <w:p>
      <w:pPr>
        <w:pStyle w:val="BodyText"/>
      </w:pPr>
      <w:r>
        <w:t xml:space="preserve">Revenue Generated (QAR)</w:t>
      </w:r>
    </w:p>
    <w:p>
      <w:pPr>
        <w:pStyle w:val="BodyText"/>
      </w:pPr>
      <w:r>
        <w:t xml:space="preserve">Strategic Alignment with Qatar Vision 2030</w:t>
      </w:r>
    </w:p>
    <w:p>
      <w:pPr>
        <w:pStyle w:val="BodyText"/>
      </w:pPr>
      <w:r>
        <w:t xml:space="preserve">Sustainable Energy Solutions</w:t>
      </w:r>
    </w:p>
    <w:p>
      <w:pPr>
        <w:pStyle w:val="BodyText"/>
      </w:pPr>
      <w:r>
        <w:t xml:space="preserve">QatarEnergy &amp; Masdar UAE</w:t>
      </w:r>
    </w:p>
    <w:p>
      <w:pPr>
        <w:pStyle w:val="BodyText"/>
      </w:pPr>
      <w:r>
        <w:t xml:space="preserve">42.7 Million QAR</w:t>
      </w:r>
    </w:p>
    <w:p>
      <w:pPr>
        <w:pStyle w:val="BodyText"/>
      </w:pPr>
      <w:r>
        <w:t xml:space="preserve">Energy Security &amp; Green Innovation Pillar</w:t>
      </w:r>
    </w:p>
    <w:p>
      <w:pPr>
        <w:pStyle w:val="BodyText"/>
      </w:pPr>
      <w:r>
        <w:t xml:space="preserve">Digital Health Analytics</w:t>
      </w:r>
    </w:p>
    <w:p>
      <w:pPr>
        <w:pStyle w:val="BodyText"/>
      </w:pPr>
      <w:r>
        <w:t xml:space="preserve">Hamad Medical Corporation (HMC)</w:t>
      </w:r>
    </w:p>
    <w:p>
      <w:pPr>
        <w:pStyle w:val="BodyText"/>
      </w:pPr>
      <w:r>
        <w:t xml:space="preserve">28.9 Million QAR</w:t>
      </w:r>
    </w:p>
    <w:p>
      <w:pPr>
        <w:pStyle w:val="BodyText"/>
      </w:pPr>
      <w:r>
        <w:t xml:space="preserve">Data-Driven Healthcare Transformation</w:t>
      </w:r>
    </w:p>
    <w:p>
      <w:pPr>
        <w:pStyle w:val="BodyText"/>
      </w:pPr>
      <w:r>
        <w:t xml:space="preserve">Futuristic Urban Planning</w:t>
      </w:r>
    </w:p>
    <w:p>
      <w:pPr>
        <w:pStyle w:val="BodyText"/>
      </w:pPr>
      <w:r>
        <w:t xml:space="preserve">Urban Planning Ministry &amp; Sidra Medical City</w:t>
      </w:r>
    </w:p>
    <w:p>
      <w:pPr>
        <w:pStyle w:val="BodyText"/>
      </w:pPr>
      <w:r>
        <w:t xml:space="preserve">19.5 Million QAR</w:t>
      </w:r>
    </w:p>
    <w:p>
      <w:pPr>
        <w:pStyle w:val="BodyText"/>
      </w:pPr>
      <w:r>
        <w:t xml:space="preserve">Sustainable Cities &amp; Quality of Life Goal</w:t>
      </w:r>
    </w:p>
    <w:p>
      <w:pPr>
        <w:pStyle w:val="BodyText"/>
      </w:pPr>
      <w:r>
        <w:t xml:space="preserve">Agri-Tech Innovation Lab</w:t>
      </w:r>
    </w:p>
    <w:p>
      <w:pPr>
        <w:pStyle w:val="BodyText"/>
      </w:pPr>
      <w:r>
        <w:t xml:space="preserve">Banana Group (Qatar's largest agribusiness)</w:t>
      </w:r>
    </w:p>
    <w:p>
      <w:pPr>
        <w:pStyle w:val="BodyText"/>
      </w:pPr>
      <w:r>
        <w:t xml:space="preserve">14.2 Million QAR</w:t>
      </w:r>
    </w:p>
    <w:p>
      <w:pPr>
        <w:pStyle w:val="BodyText"/>
      </w:pPr>
      <w:r>
        <w:t xml:space="preserve">These figures represent not just financial transactions but the successful "sales" of research capabilities to Qatar’s strategic partners. For instance, the Sustainable Energy Solutions project involved an Academic Researcher-led team securing a landmark $12M QNRF grant and matching private investment, resulting in a patented carbon capture technology now deployed at QatarEnergy facilities in Ras Laffan.</w:t>
      </w:r>
    </w:p>
    <w:bookmarkEnd w:id="22"/>
    <w:bookmarkStart w:id="23" w:name="Xf11e7d70b745d213e6bdc7ca1cacd2c28713444"/>
    <w:p>
      <w:pPr>
        <w:pStyle w:val="Heading2"/>
      </w:pPr>
      <w:r>
        <w:t xml:space="preserve">Case Study: The Doha Health Innovation Hub</w:t>
      </w:r>
    </w:p>
    <w:p>
      <w:pPr>
        <w:pStyle w:val="FirstParagraph"/>
      </w:pPr>
      <w:r>
        <w:t xml:space="preserve">A prime example of Academic Researcher-driven sales success is the Doha Health Innovation Hub—a joint venture between HBKU and HMC. Led by Dr. Aisha Al-Thani (Senior Academic Researcher, Data Science), the project identified a critical market gap: predictive analytics for chronic disease management in Qatar’s aging population. Her team developed a scalable AI platform that reduced hospital readmission rates by 22% in pilot studies.</w:t>
      </w:r>
    </w:p>
    <w:p>
      <w:pPr>
        <w:pStyle w:val="BodyText"/>
      </w:pPr>
      <w:r>
        <w:t xml:space="preserve">This wasn’t merely academic work; it was a strategic sales engagement. Dr. Al-Thani presented the solution to HMC leadership, securing a $5M contract for phased implementation across 15 public hospitals. The project generated QAR 8 million in direct revenue for HBKU and created four new spin-off companies in Doha’s Innovation District, directly supporting Qatar’s goal of fostering a knowledge-based economy. The platform is now being marketed internationally, with MoUs signed with healthcare providers in the UAE and Saudi Arabia.</w:t>
      </w:r>
    </w:p>
    <w:bookmarkEnd w:id="23"/>
    <w:bookmarkStart w:id="24" w:name="challenges-and-strategic-adaptations"/>
    <w:p>
      <w:pPr>
        <w:pStyle w:val="Heading2"/>
      </w:pPr>
      <w:r>
        <w:t xml:space="preserve">Challenges and Strategic Adaptations</w:t>
      </w:r>
    </w:p>
    <w:p>
      <w:pPr>
        <w:pStyle w:val="FirstParagraph"/>
      </w:pPr>
      <w:r>
        <w:t xml:space="preserve">Operating within Qatar Doha presents unique challenges for Academic Researchers functioning as sales professionals. Cultural nuances require deep engagement—Qatari stakeholders prioritize relationship-building over transactional approaches. Our Sales Report identifies that 68% of initial research proposals were refined after direct consultations with Qatari government officials, emphasizing co-creation over solution delivery.</w:t>
      </w:r>
    </w:p>
    <w:p>
      <w:pPr>
        <w:pStyle w:val="BodyText"/>
      </w:pPr>
      <w:r>
        <w:t xml:space="preserve">To overcome this, we implemented a "Stakeholder Integration Framework" where Academic Researchers attend QNRF workshops and policy forums quarterly. This ensures their research narratives align with national priorities before proposal submission. The framework contributed to a 40% increase in successful funding applications from QNRF in 2023.</w:t>
      </w:r>
    </w:p>
    <w:bookmarkEnd w:id="24"/>
    <w:bookmarkStart w:id="25" w:name="Xe84b721f6596d0c7d2592f35bad932c95080d27"/>
    <w:p>
      <w:pPr>
        <w:pStyle w:val="Heading2"/>
      </w:pPr>
      <w:r>
        <w:t xml:space="preserve">Future Roadmap: Scaling Research Sales in Doha</w:t>
      </w:r>
    </w:p>
    <w:p>
      <w:pPr>
        <w:pStyle w:val="FirstParagraph"/>
      </w:pPr>
      <w:r>
        <w:t xml:space="preserve">As we look ahead, the Academic Researcher’s role will evolve further. The Qatar-Doha ecosystem aims to position itself as a Middle East R&amp;D hub through initiatives like the Qatar Science &amp; Technology Park (QSTP). Our 2024-2025 Sales Strategy includes:</w:t>
      </w:r>
    </w:p>
    <w:p>
      <w:pPr>
        <w:numPr>
          <w:ilvl w:val="0"/>
          <w:numId w:val="1001"/>
        </w:numPr>
        <w:pStyle w:val="Compact"/>
      </w:pPr>
      <w:r>
        <w:rPr>
          <w:bCs/>
          <w:b/>
        </w:rPr>
        <w:t xml:space="preserve">Establishing Research Commercialization Units</w:t>
      </w:r>
      <w:r>
        <w:t xml:space="preserve"> </w:t>
      </w:r>
      <w:r>
        <w:t xml:space="preserve">within all Doha universities to streamline "sales" processes for researcher outputs.</w:t>
      </w:r>
    </w:p>
    <w:p>
      <w:pPr>
        <w:numPr>
          <w:ilvl w:val="0"/>
          <w:numId w:val="1001"/>
        </w:numPr>
        <w:pStyle w:val="Compact"/>
      </w:pPr>
      <w:r>
        <w:rPr>
          <w:bCs/>
          <w:b/>
        </w:rPr>
        <w:t xml:space="preserve">Leveraging Doha’s Diplomatic Presence</w:t>
      </w:r>
      <w:r>
        <w:t xml:space="preserve"> </w:t>
      </w:r>
      <w:r>
        <w:t xml:space="preserve">to position Qatar as a research destination for global firms seeking MENA market entry.</w:t>
      </w:r>
    </w:p>
    <w:p>
      <w:pPr>
        <w:numPr>
          <w:ilvl w:val="0"/>
          <w:numId w:val="1001"/>
        </w:numPr>
        <w:pStyle w:val="Compact"/>
      </w:pPr>
      <w:r>
        <w:rPr>
          <w:bCs/>
          <w:b/>
        </w:rPr>
        <w:t xml:space="preserve">Developing "Research Impact Metrics"</w:t>
      </w:r>
      <w:r>
        <w:t xml:space="preserve"> </w:t>
      </w:r>
      <w:r>
        <w:t xml:space="preserve">that quantify intellectual property sales and industry adoption rates—moving beyond traditional publication counts.</w:t>
      </w:r>
    </w:p>
    <w:bookmarkEnd w:id="25"/>
    <w:bookmarkStart w:id="26" w:name="conclusion-the-strategic-imperative"/>
    <w:p>
      <w:pPr>
        <w:pStyle w:val="Heading2"/>
      </w:pPr>
      <w:r>
        <w:t xml:space="preserve">Conclusion: The Strategic Imperative</w:t>
      </w:r>
    </w:p>
    <w:p>
      <w:pPr>
        <w:pStyle w:val="FirstParagraph"/>
      </w:pPr>
      <w:r>
        <w:t xml:space="preserve">This Sales Report unequivocally demonstrates that Academic Researchers in Qatar Doha are not just knowledge creators—they are pivotal drivers of economic growth, national development, and global competitiveness. By embracing a sales-oriented mindset while upholding academic rigor, they transform scholarly inquiry into tangible value for Qatar’s Vision 2030. In the heart of Doha’s innovation landscape, where institutions like Qatar University and Weill Cornell Medicine-Qatar are redefining research boundaries, our Academic Researchers consistently deliver solutions that "sell" themselves through measurable impact.</w:t>
      </w:r>
    </w:p>
    <w:p>
      <w:pPr>
        <w:pStyle w:val="BodyText"/>
      </w:pPr>
      <w:r>
        <w:t xml:space="preserve">As we advance toward 2030, the convergence of academic expertise and commercial acumen will cement Qatar Doha’s reputation as a leader in innovation-led growth. The true measure of success isn’t just securing grants—it’s seeing our research integrated into the fabric of Qatar's economy and global partnerships. This Sales Report confirms that Academic Researchers are at the forefront of this transformative journey, turning ideas into value across every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Impact in Qatar Doha</dc:title>
  <dc:creator/>
  <dc:language>en</dc:language>
  <cp:keywords/>
  <dcterms:created xsi:type="dcterms:W3CDTF">2025-12-10T06:52:52Z</dcterms:created>
  <dcterms:modified xsi:type="dcterms:W3CDTF">2025-12-10T06:52:52Z</dcterms:modified>
</cp:coreProperties>
</file>

<file path=docProps/custom.xml><?xml version="1.0" encoding="utf-8"?>
<Properties xmlns="http://schemas.openxmlformats.org/officeDocument/2006/custom-properties" xmlns:vt="http://schemas.openxmlformats.org/officeDocument/2006/docPropsVTypes"/>
</file>