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p>
    <w:bookmarkStart w:id="26" w:name="X78734f53f4b1b4dcffcbdd852cd39d3646f4cf1"/>
    <w:p>
      <w:pPr>
        <w:pStyle w:val="Heading1"/>
      </w:pPr>
      <w:r>
        <w:t xml:space="preserve">Quarterly Sales Report for Academic Research Solutions in Russia Moscow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Academic Technology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academic research technology solutions across Russia's Moscow market, with particular focus on serving Academic Researchers in key institutions. Despite geopolitical challenges, Moscow remains Russia's primary hub for scientific advancement, where demand for specialized research tools continues to grow at 14% YoY. Our sales team achieved $2.8M in revenue (exceeding target by 9%) through strategic partnerships with leading universities and research centers. The most significant growth occurred in AI-driven data analytics platforms tailored for Academic Researchers navigating complex scientific workflows in Russia Moscow's unique academic ecosystem.</w:t>
      </w:r>
    </w:p>
    <w:bookmarkEnd w:id="20"/>
    <w:bookmarkStart w:id="21" w:name="X52049d203a030b992e4a5d04329e38f47a8255a"/>
    <w:p>
      <w:pPr>
        <w:pStyle w:val="Heading2"/>
      </w:pPr>
      <w:r>
        <w:t xml:space="preserve">II. Moscow Market Context: Academic Researcher Landscape</w:t>
      </w:r>
    </w:p>
    <w:p>
      <w:pPr>
        <w:pStyle w:val="FirstParagraph"/>
      </w:pPr>
      <w:r>
        <w:t xml:space="preserve">Moscow houses 68% of Russia's top-tier research institutions, including Moscow State University (MSU), Skolkovo Institute of Science and Technology, and Russian Academy of Sciences branches. These entities employ over 120,000 Academic Researchers actively seeking technology solutions that comply with Russian data sovereignty laws. Our market analysis reveals three critical dynamics shaping sales opportunities in Russia Moscow:</w:t>
      </w:r>
    </w:p>
    <w:p>
      <w:pPr>
        <w:numPr>
          <w:ilvl w:val="0"/>
          <w:numId w:val="1001"/>
        </w:numPr>
        <w:pStyle w:val="Compact"/>
      </w:pPr>
      <w:r>
        <w:rPr>
          <w:bCs/>
          <w:b/>
        </w:rPr>
        <w:t xml:space="preserve">Government Prioritization:</w:t>
      </w:r>
      <w:r>
        <w:t xml:space="preserve"> </w:t>
      </w:r>
      <w:r>
        <w:t xml:space="preserve">Federal programs like "Digital Economy" allocate $34B for academic tech modernization through 2025, creating mandatory procurement channels.</w:t>
      </w:r>
    </w:p>
    <w:p>
      <w:pPr>
        <w:numPr>
          <w:ilvl w:val="0"/>
          <w:numId w:val="1001"/>
        </w:numPr>
        <w:pStyle w:val="Compact"/>
      </w:pPr>
      <w:r>
        <w:rPr>
          <w:bCs/>
          <w:b/>
        </w:rPr>
        <w:t xml:space="preserve">Data Localization Imperatives:</w:t>
      </w:r>
      <w:r>
        <w:t xml:space="preserve"> </w:t>
      </w:r>
      <w:r>
        <w:t xml:space="preserve">Russian Law 152-FZ requires all research data to reside within national borders, making cloud-native solutions unviable without Moscow-based infrastructure.</w:t>
      </w:r>
    </w:p>
    <w:p>
      <w:pPr>
        <w:numPr>
          <w:ilvl w:val="0"/>
          <w:numId w:val="1001"/>
        </w:numPr>
        <w:pStyle w:val="Compact"/>
      </w:pPr>
      <w:r>
        <w:rPr>
          <w:bCs/>
          <w:b/>
        </w:rPr>
        <w:t xml:space="preserve">Research Funding Shifts:</w:t>
      </w:r>
      <w:r>
        <w:t xml:space="preserve"> </w:t>
      </w:r>
      <w:r>
        <w:t xml:space="preserve">78% of Academic Researchers now prioritize tools that integrate with domestic platforms like CyberForum and RUSNANOS, reducing reliance on Western software.</w:t>
      </w:r>
    </w:p>
    <w:bookmarkEnd w:id="21"/>
    <w:bookmarkStart w:id="22" w:name="iii.-sales-performance-breakdown"/>
    <w:p>
      <w:pPr>
        <w:pStyle w:val="Heading2"/>
      </w:pPr>
      <w:r>
        <w:t xml:space="preserve">III. Sales Performance Breakdown</w:t>
      </w:r>
    </w:p>
    <w:p>
      <w:pPr>
        <w:pStyle w:val="FirstParagraph"/>
      </w:pPr>
      <w:r>
        <w:t xml:space="preserve">Product Line</w:t>
      </w:r>
    </w:p>
    <w:p>
      <w:pPr>
        <w:pStyle w:val="BodyText"/>
      </w:pPr>
      <w:r>
        <w:t xml:space="preserve">Revenue (Q3)</w:t>
      </w:r>
    </w:p>
    <w:p>
      <w:pPr>
        <w:pStyle w:val="BodyText"/>
      </w:pPr>
      <w:r>
        <w:t xml:space="preserve">% of Total</w:t>
      </w:r>
    </w:p>
    <w:p>
      <w:pPr>
        <w:pStyle w:val="BodyText"/>
      </w:pPr>
      <w:r>
        <w:t xml:space="preserve">Key Academic Researchers Served</w:t>
      </w:r>
    </w:p>
    <w:p>
      <w:pPr>
        <w:pStyle w:val="BodyText"/>
      </w:pPr>
      <w:r>
        <w:t xml:space="preserve">Data Analytics Suite for Lab Research</w:t>
      </w:r>
    </w:p>
    <w:p>
      <w:pPr>
        <w:pStyle w:val="BodyText"/>
      </w:pPr>
      <w:r>
        <w:t xml:space="preserve">$1.2M</w:t>
      </w:r>
    </w:p>
    <w:p>
      <w:pPr>
        <w:pStyle w:val="BodyText"/>
      </w:pPr>
      <w:r>
        <w:t xml:space="preserve">43%</w:t>
      </w:r>
    </w:p>
    <w:p>
      <w:pPr>
        <w:pStyle w:val="BodyText"/>
      </w:pPr>
      <w:r>
        <w:t xml:space="preserve">87 MSU/SPbSU researchers</w:t>
      </w:r>
    </w:p>
    <w:p>
      <w:pPr>
        <w:pStyle w:val="BodyText"/>
      </w:pPr>
      <w:r>
        <w:t xml:space="preserve">Compliant Cloud Storage (Moscow Data Center)</w:t>
      </w:r>
    </w:p>
    <w:p>
      <w:pPr>
        <w:pStyle w:val="BodyText"/>
      </w:pPr>
      <w:r>
        <w:t xml:space="preserve">$950K</w:t>
      </w:r>
    </w:p>
    <w:bookmarkEnd w:id="22"/>
    <w:bookmarkStart w:id="23" w:name="Xd2ae520add5ff81afa148ab44aa63bf80843fa0"/>
    <w:p>
      <w:pPr>
        <w:pStyle w:val="Heading2"/>
      </w:pPr>
      <w:r>
        <w:t xml:space="preserve">V. Strategic Recommendations for Russia Moscow Market</w:t>
      </w:r>
    </w:p>
    <w:p>
      <w:pPr>
        <w:pStyle w:val="FirstParagraph"/>
      </w:pPr>
      <w:r>
        <w:t xml:space="preserve">To sustain growth, we recommend three targeted actions:</w:t>
      </w:r>
    </w:p>
    <w:p>
      <w:pPr>
        <w:numPr>
          <w:ilvl w:val="0"/>
          <w:numId w:val="1002"/>
        </w:numPr>
        <w:pStyle w:val="Compact"/>
      </w:pPr>
      <w:r>
        <w:rPr>
          <w:bCs/>
          <w:b/>
        </w:rPr>
        <w:t xml:space="preserve">Localized R&amp;D Centers:</w:t>
      </w:r>
      <w:r>
        <w:t xml:space="preserve"> </w:t>
      </w:r>
      <w:r>
        <w:t xml:space="preserve">Establish a dedicated Moscow-based team of 15 engineers by Q1 2024 to develop features compliant with Russian academic standards (e.g., native support for Rosstat data formats). This addresses the top pain point cited by 63% of Academic Researchers in our Q3 survey: "Western tools don't handle Russian scientific nomenclature."</w:t>
      </w:r>
    </w:p>
    <w:p>
      <w:pPr>
        <w:numPr>
          <w:ilvl w:val="0"/>
          <w:numId w:val="1002"/>
        </w:numPr>
        <w:pStyle w:val="Compact"/>
      </w:pPr>
      <w:r>
        <w:rPr>
          <w:bCs/>
          <w:b/>
        </w:rPr>
        <w:t xml:space="preserve">Government Partnership Program:</w:t>
      </w:r>
      <w:r>
        <w:t xml:space="preserve"> </w:t>
      </w:r>
      <w:r>
        <w:t xml:space="preserve">Co-develop solutions with Ministry of Science through the "Digital Research Initiative" funding stream. Pilot projects at Moscow State University's Advanced Materials Lab could secure $500K in state-backed contracts by year-end.</w:t>
      </w:r>
    </w:p>
    <w:p>
      <w:pPr>
        <w:numPr>
          <w:ilvl w:val="0"/>
          <w:numId w:val="1002"/>
        </w:numPr>
        <w:pStyle w:val="Compact"/>
      </w:pPr>
      <w:r>
        <w:rPr>
          <w:bCs/>
          <w:b/>
        </w:rPr>
        <w:t xml:space="preserve">Academic Researcher Ambassador Network:</w:t>
      </w:r>
      <w:r>
        <w:t xml:space="preserve"> </w:t>
      </w:r>
      <w:r>
        <w:t xml:space="preserve">Recruit 30+ influential Academic Researchers across Moscow universities as solution advocates. They will provide real-world feedback and serve as credibility anchors for new product launches, directly addressing the trust deficit with foreign vendors.</w:t>
      </w:r>
    </w:p>
    <w:bookmarkEnd w:id="23"/>
    <w:bookmarkStart w:id="24" w:name="vi.-challenges-mitigation-strategies"/>
    <w:p>
      <w:pPr>
        <w:pStyle w:val="Heading2"/>
      </w:pPr>
      <w:r>
        <w:t xml:space="preserve">VI. Challenges &amp; Mitigation Strategies</w:t>
      </w:r>
    </w:p>
    <w:p>
      <w:pPr>
        <w:pStyle w:val="FirstParagraph"/>
      </w:pPr>
      <w:r>
        <w:t xml:space="preserve">While market potential is strong, we face three critical challenges specific to Russia Moscow:</w:t>
      </w:r>
    </w:p>
    <w:p>
      <w:pPr>
        <w:numPr>
          <w:ilvl w:val="0"/>
          <w:numId w:val="1003"/>
        </w:numPr>
        <w:pStyle w:val="Compact"/>
      </w:pPr>
      <w:r>
        <w:rPr>
          <w:bCs/>
          <w:b/>
        </w:rPr>
        <w:t xml:space="preserve">Regulatory Complexity:</w:t>
      </w:r>
      <w:r>
        <w:t xml:space="preserve"> </w:t>
      </w:r>
      <w:r>
        <w:t xml:space="preserve">Russian data laws require constant compliance updates. *Mitigation:* Partner with Moscow-based legal firm "LegisTech" for real-time regulatory monitoring (cost: $45K/quarter).</w:t>
      </w:r>
    </w:p>
    <w:p>
      <w:pPr>
        <w:numPr>
          <w:ilvl w:val="0"/>
          <w:numId w:val="1003"/>
        </w:numPr>
        <w:pStyle w:val="Compact"/>
      </w:pPr>
      <w:r>
        <w:rPr>
          <w:bCs/>
          <w:b/>
        </w:rPr>
        <w:t xml:space="preserve">Cultural Barriers in Sales Cycle:</w:t>
      </w:r>
      <w:r>
        <w:t xml:space="preserve"> </w:t>
      </w:r>
      <w:r>
        <w:t xml:space="preserve">Academic Researchers require deep technical validation before procurement, extending sales cycles by 40%. *Mitigation:* Implement a 3-phase demo framework including lab trials at Moscow institutions.</w:t>
      </w:r>
    </w:p>
    <w:p>
      <w:pPr>
        <w:numPr>
          <w:ilvl w:val="0"/>
          <w:numId w:val="1003"/>
        </w:numPr>
        <w:pStyle w:val="Compact"/>
      </w:pPr>
      <w:r>
        <w:rPr>
          <w:bCs/>
          <w:b/>
        </w:rPr>
        <w:t xml:space="preserve">Competition from Domestic Vendors:</w:t>
      </w:r>
      <w:r>
        <w:t xml:space="preserve"> </w:t>
      </w:r>
      <w:r>
        <w:t xml:space="preserve">Local firms like NaukaSoft offer cheaper solutions but lack global standards. *Mitigation:* Emphasize our international research collaboration capabilities – a key differentiator for Moscow's Academic Researchers aiming for global publications.</w:t>
      </w:r>
    </w:p>
    <w:bookmarkEnd w:id="24"/>
    <w:bookmarkStart w:id="25" w:name="vii.-conclusion-the-path-forward"/>
    <w:p>
      <w:pPr>
        <w:pStyle w:val="Heading2"/>
      </w:pPr>
      <w:r>
        <w:t xml:space="preserve">VII. Conclusion: The Path Forward</w:t>
      </w:r>
    </w:p>
    <w:p>
      <w:pPr>
        <w:pStyle w:val="FirstParagraph"/>
      </w:pPr>
      <w:r>
        <w:t xml:space="preserve">The Russia Moscow market represents one of the most strategically significant opportunities in Eastern Europe for academic research technology sales. Our Q3 performance demonstrates that solutions respecting Russian data sovereignty and academic workflows can achieve double-digit growth even amid global headwinds. Crucially, we've moved beyond generic software sales to become trusted partners for Academic Researchers – a shift reflected in our 82% customer retention rate among Moscow institutions.</w:t>
      </w:r>
    </w:p>
    <w:p>
      <w:pPr>
        <w:pStyle w:val="BodyText"/>
      </w:pPr>
      <w:r>
        <w:t xml:space="preserve">As we move into Q4, our focus will intensify on transforming the Sales Report from a performance document into an operational roadmap. We recommend allocating 15% of Q4 marketing budget to showcase Moscow-based Academic Researcher success stories in key journals like "Russian Journal of Physical Chemistry." This approach directly aligns with how Academic Researchers validate new tools – through peer-reviewed case studies rather than vendor claims.</w:t>
      </w:r>
    </w:p>
    <w:p>
      <w:pPr>
        <w:pStyle w:val="BodyText"/>
      </w:pPr>
      <w:r>
        <w:t xml:space="preserve">With Russia's academic sector investing $12B annually in technology (per Rosstat 2023), Moscow remains the epicenter where we can deliver both business results and scientific impact. This Sales Report affirms that when solutions are engineered for the unique needs of Academic Researchers in Russia Moscow, sustainable growth becomes inevitable.</w:t>
      </w:r>
    </w:p>
    <w:p>
      <w:pPr>
        <w:pStyle w:val="BodyText"/>
      </w:pPr>
      <w:r>
        <w:rPr>
          <w:bCs/>
          <w:b/>
        </w:rPr>
        <w:t xml:space="preserve">Prepared By:</w:t>
      </w:r>
      <w:r>
        <w:t xml:space="preserve"> </w:t>
      </w:r>
      <w:r>
        <w:t xml:space="preserve">Elena Petrova, Head of Central Eurasia Sales</w:t>
      </w:r>
      <w:r>
        <w:br/>
      </w:r>
      <w:r>
        <w:rPr>
          <w:bCs/>
          <w:b/>
        </w:rPr>
        <w:t xml:space="preserve">Approved By:</w:t>
      </w:r>
      <w:r>
        <w:t xml:space="preserve"> </w:t>
      </w:r>
      <w:r>
        <w:t xml:space="preserve">Michael Chen, VP Global Academic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Russia Moscow Market</dc:title>
  <dc:creator/>
  <dc:language>en</dc:language>
  <cp:keywords/>
  <dcterms:created xsi:type="dcterms:W3CDTF">2026-07-23T19:43:18Z</dcterms:created>
  <dcterms:modified xsi:type="dcterms:W3CDTF">2026-07-23T19:43:18Z</dcterms:modified>
</cp:coreProperties>
</file>

<file path=docProps/custom.xml><?xml version="1.0" encoding="utf-8"?>
<Properties xmlns="http://schemas.openxmlformats.org/officeDocument/2006/custom-properties" xmlns:vt="http://schemas.openxmlformats.org/officeDocument/2006/docPropsVTypes"/>
</file>