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a829d84eb885235255b12cd8e0f53cb635ef6c4"/>
    <w:p>
      <w:pPr>
        <w:pStyle w:val="Heading1"/>
      </w:pPr>
      <w:r>
        <w:t xml:space="preserve">Sales Report: Strategic Market Analysis for Academic Researcher Segment in Saint Petersburg, Russia</w:t>
      </w:r>
    </w:p>
    <w:bookmarkStart w:id="20" w:name="introduction"/>
    <w:p>
      <w:pPr>
        <w:pStyle w:val="Heading2"/>
      </w:pPr>
      <w:r>
        <w:t xml:space="preserve">Introduction</w:t>
      </w:r>
    </w:p>
    <w:p>
      <w:pPr>
        <w:pStyle w:val="FirstParagraph"/>
      </w:pPr>
      <w:r>
        <w:t xml:space="preserve">This comprehensive Sales Report examines the evolving landscape of academic research services within Saint Petersburg, Russia – a city renowned as the nation's premier hub for scientific innovation. With over 30 major universities and research institutions including St. Petersburg State University, ITMO University, and the Peterhof Scientific Center housing more than 120,000 researchers, this market represents a critical growth frontier for B2B service providers targeting Russia's intellectual capital. This report details our strategic positioning as a leading provider of specialized research tools and collaboration platforms tailored specifically for Academic Researchers operating in Saint Petersburg's dynamic academic ecosystem.</w:t>
      </w:r>
    </w:p>
    <w:bookmarkEnd w:id="20"/>
    <w:bookmarkStart w:id="21" w:name="X1e1ea3b364cf7016d031d62e5d5ae7905b6ec3f"/>
    <w:p>
      <w:pPr>
        <w:pStyle w:val="Heading2"/>
      </w:pPr>
      <w:r>
        <w:t xml:space="preserve">Market Context: Saint Petersburg as an Academic Powerhouse</w:t>
      </w:r>
    </w:p>
    <w:p>
      <w:pPr>
        <w:pStyle w:val="FirstParagraph"/>
      </w:pPr>
      <w:r>
        <w:t xml:space="preserve">Russia's second-largest city hosts 40% of the country's high-impact scientific publications, generating approximately $1.8 billion annually in research funding. The Saint Petersburg academic community demonstrates exceptional specialization in quantum computing, biotechnology, and Arctic studies – sectors where our advanced data analytics platform has achieved 37% market penetration. Key drivers include: (1) Federal initiatives like the "Science and Universities" program allocating ₽23 billion for research infrastructure upgrades through 2025, (2) The city's unique historical advantage as Russia's academic cradle since the 18th century, and (3) Strategic location bridging European and Asian research networks. Our Sales Report confirms that Saint Petersburg researchers prioritize solutions offering seamless integration with local systems like the Russian Academy of Sciences' digital repository.</w:t>
      </w:r>
    </w:p>
    <w:bookmarkEnd w:id="21"/>
    <w:bookmarkStart w:id="22" w:name="X55a8a399e85c8d4ba1f4cd8a66effa5e005fac5"/>
    <w:p>
      <w:pPr>
        <w:pStyle w:val="Heading2"/>
      </w:pPr>
      <w:r>
        <w:t xml:space="preserve">Performance Metrics: Academic Researcher Segment</w:t>
      </w:r>
    </w:p>
    <w:p>
      <w:pPr>
        <w:pStyle w:val="FirstParagraph"/>
      </w:pPr>
      <w:r>
        <w:t xml:space="preserve">Q3 2023 sales data reveals exceptional traction within the Academic Researcher segment in Saint Petersburg. We achieved:</w:t>
      </w:r>
    </w:p>
    <w:p>
      <w:pPr>
        <w:numPr>
          <w:ilvl w:val="0"/>
          <w:numId w:val="1001"/>
        </w:numPr>
        <w:pStyle w:val="Compact"/>
      </w:pPr>
      <w:r>
        <w:rPr>
          <w:bCs/>
          <w:b/>
        </w:rPr>
        <w:t xml:space="preserve">41% YoY Growth</w:t>
      </w:r>
      <w:r>
        <w:t xml:space="preserve">: Surpassing industry averages by 18 percentage points in this niche market</w:t>
      </w:r>
    </w:p>
    <w:p>
      <w:pPr>
        <w:numPr>
          <w:ilvl w:val="0"/>
          <w:numId w:val="1001"/>
        </w:numPr>
        <w:pStyle w:val="Compact"/>
      </w:pPr>
      <w:r>
        <w:rPr>
          <w:bCs/>
          <w:b/>
        </w:rPr>
        <w:t xml:space="preserve">92% Retention Rate</w:t>
      </w:r>
      <w:r>
        <w:t xml:space="preserve">: Among 247 academic institutions actively using our platform in Saint Petersburg</w:t>
      </w:r>
    </w:p>
    <w:p>
      <w:pPr>
        <w:numPr>
          <w:ilvl w:val="0"/>
          <w:numId w:val="1001"/>
        </w:numPr>
        <w:pStyle w:val="Compact"/>
      </w:pPr>
      <w:r>
        <w:rPr>
          <w:bCs/>
          <w:b/>
        </w:rPr>
        <w:t xml:space="preserve">5.3x ROI</w:t>
      </w:r>
      <w:r>
        <w:t xml:space="preserve">: Demonstrated through case studies at the Institute of Molecular Biology (St. Petersburg)</w:t>
      </w:r>
    </w:p>
    <w:p>
      <w:pPr>
        <w:pStyle w:val="FirstParagraph"/>
      </w:pPr>
      <w:r>
        <w:t xml:space="preserve">This success stems from our localized approach: Our Russian-language interface, compatibility with domestic data protocols (like Rosstat standards), and dedicated support team based in Saint Petersburg's Science and Technology Park. Unlike competitors offering generic global solutions, we've embedded ourselves within the city's academic workflow – a strategic differentiator reflected in 87% of our new acquisitions originating from researcher referrals.</w:t>
      </w:r>
    </w:p>
    <w:bookmarkEnd w:id="22"/>
    <w:bookmarkStart w:id="23" w:name="Xa87f162faa14d04beb107d5f1319ba738c2b205"/>
    <w:p>
      <w:pPr>
        <w:pStyle w:val="Heading2"/>
      </w:pPr>
      <w:r>
        <w:t xml:space="preserve">Key Success Story: Quantum Computing Initiative at ITMO University</w:t>
      </w:r>
    </w:p>
    <w:p>
      <w:pPr>
        <w:pStyle w:val="FirstParagraph"/>
      </w:pPr>
      <w:r>
        <w:t xml:space="preserve">Our most significant transaction involved providing a custom AI-driven research management suite to ITMO University's Quantum Engineering Department. This Saint Petersburg-based team was struggling with fragmented data across 14 international collaborations. Our solution:</w:t>
      </w:r>
    </w:p>
    <w:p>
      <w:pPr>
        <w:numPr>
          <w:ilvl w:val="0"/>
          <w:numId w:val="1002"/>
        </w:numPr>
        <w:pStyle w:val="Compact"/>
      </w:pPr>
      <w:r>
        <w:t xml:space="preserve">Integrated with their existing Russian National Supercomputing Center infrastructure</w:t>
      </w:r>
    </w:p>
    <w:p>
      <w:pPr>
        <w:numPr>
          <w:ilvl w:val="0"/>
          <w:numId w:val="1002"/>
        </w:numPr>
        <w:pStyle w:val="Compact"/>
      </w:pPr>
      <w:r>
        <w:t xml:space="preserve">Automated grant application tracking for Rosnauka funding</w:t>
      </w:r>
    </w:p>
    <w:p>
      <w:pPr>
        <w:numPr>
          <w:ilvl w:val="0"/>
          <w:numId w:val="1002"/>
        </w:numPr>
        <w:pStyle w:val="Compact"/>
      </w:pPr>
      <w:r>
        <w:t xml:space="preserve">Enabled real-time cross-border collaboration with researchers in Moscow and Helsinki</w:t>
      </w:r>
    </w:p>
    <w:p>
      <w:pPr>
        <w:pStyle w:val="FirstParagraph"/>
      </w:pPr>
      <w:r>
        <w:t xml:space="preserve">The result: 63% faster publication cycles and successful acquisition of a ₽145 million federal grant. The ITMO case study now serves as our flagship reference for Academic Researchers across Saint Petersburg, featured in all regional sales training materials.</w:t>
      </w:r>
    </w:p>
    <w:bookmarkEnd w:id="23"/>
    <w:bookmarkStart w:id="24" w:name="Xb21bc747e6d2b990c81b45185172c3c5d5b71dc"/>
    <w:p>
      <w:pPr>
        <w:pStyle w:val="Heading2"/>
      </w:pPr>
      <w:r>
        <w:t xml:space="preserve">Regional Challenges &amp; Strategic Adaptations</w:t>
      </w:r>
    </w:p>
    <w:p>
      <w:pPr>
        <w:pStyle w:val="FirstParagraph"/>
      </w:pPr>
      <w:r>
        <w:t xml:space="preserve">Our Sales Report identifies two critical challenges unique to Russia's Saint Petersburg academic market:</w:t>
      </w:r>
    </w:p>
    <w:p>
      <w:pPr>
        <w:numPr>
          <w:ilvl w:val="0"/>
          <w:numId w:val="1003"/>
        </w:numPr>
        <w:pStyle w:val="Compact"/>
      </w:pPr>
      <w:r>
        <w:rPr>
          <w:bCs/>
          <w:b/>
        </w:rPr>
        <w:t xml:space="preserve">Regulatory Complexity</w:t>
      </w:r>
      <w:r>
        <w:t xml:space="preserve">: Data localization laws requiring all research data to remain within Russian borders. Our solution: We deployed a dedicated cloud cluster physically located at the St. Petersburg IT Park, ensuring compliance while maintaining performance.</w:t>
      </w:r>
    </w:p>
    <w:p>
      <w:pPr>
        <w:numPr>
          <w:ilvl w:val="0"/>
          <w:numId w:val="1003"/>
        </w:numPr>
        <w:pStyle w:val="Compact"/>
      </w:pPr>
      <w:r>
        <w:rPr>
          <w:bCs/>
          <w:b/>
        </w:rPr>
        <w:t xml:space="preserve">Funding Cycles</w:t>
      </w:r>
      <w:r>
        <w:t xml:space="preserve">: Government budget approvals lagging by 4-6 months post-academic year-end. Our adaptation: Developed flexible payment plans aligned with Russia's fiscal calendar and created a "Research Continuity Fund" for time-sensitive projects.</w:t>
      </w:r>
    </w:p>
    <w:p>
      <w:pPr>
        <w:pStyle w:val="FirstParagraph"/>
      </w:pPr>
      <w:r>
        <w:t xml:space="preserve">These adaptations directly address barriers identified in our quarterly researcher satisfaction surveys, where 78% of Saint Petersburg-based academics cited regulatory compliance as their top purchasing concern.</w:t>
      </w:r>
    </w:p>
    <w:bookmarkEnd w:id="24"/>
    <w:bookmarkStart w:id="25" w:name="X457fe25544e9607cb5733a9dc67f5f91202f3ce"/>
    <w:p>
      <w:pPr>
        <w:pStyle w:val="Heading2"/>
      </w:pPr>
      <w:r>
        <w:t xml:space="preserve">Growth Opportunities in the Saint Petersburg Academic Ecosystem</w:t>
      </w:r>
    </w:p>
    <w:p>
      <w:pPr>
        <w:pStyle w:val="FirstParagraph"/>
      </w:pPr>
      <w:r>
        <w:t xml:space="preserve">Emerging opportunities within the Russia's academic research landscape present substantial upside potential:</w:t>
      </w:r>
    </w:p>
    <w:p>
      <w:pPr>
        <w:numPr>
          <w:ilvl w:val="0"/>
          <w:numId w:val="1004"/>
        </w:numPr>
        <w:pStyle w:val="Compact"/>
      </w:pPr>
      <w:r>
        <w:rPr>
          <w:bCs/>
          <w:b/>
        </w:rPr>
        <w:t xml:space="preserve">Arctic Research Expansion</w:t>
      </w:r>
      <w:r>
        <w:t xml:space="preserve">: With Saint Petersburg serving as a gateway to the Northern Sea Route, 37 new projects require specialized environmental data tools – an area where our platform has achieved 22% adoption rate among Arctic research groups.</w:t>
      </w:r>
    </w:p>
    <w:p>
      <w:pPr>
        <w:numPr>
          <w:ilvl w:val="0"/>
          <w:numId w:val="1004"/>
        </w:numPr>
        <w:pStyle w:val="Compact"/>
      </w:pPr>
      <w:r>
        <w:rPr>
          <w:bCs/>
          <w:b/>
        </w:rPr>
        <w:t xml:space="preserve">BioTech Boom</w:t>
      </w:r>
      <w:r>
        <w:t xml:space="preserve">: St. Petersburg's biotech cluster grew 45% in 2023. Our genomic analysis modules saw a 170% surge in trials at the National Research Center for Hematology.</w:t>
      </w:r>
    </w:p>
    <w:p>
      <w:pPr>
        <w:numPr>
          <w:ilvl w:val="0"/>
          <w:numId w:val="1004"/>
        </w:numPr>
        <w:pStyle w:val="Compact"/>
      </w:pPr>
      <w:r>
        <w:rPr>
          <w:bCs/>
          <w:b/>
        </w:rPr>
        <w:t xml:space="preserve">International Collaboration Catalysts</w:t>
      </w:r>
      <w:r>
        <w:t xml:space="preserve">: As part of Russia's "Academic Exchange Program" with BRICS nations, we've developed multilingual collaboration modules now used by 82% of Saint Petersburg research teams conducting joint projects.</w:t>
      </w:r>
    </w:p>
    <w:bookmarkEnd w:id="25"/>
    <w:bookmarkStart w:id="26" w:name="strategic-recommendations-for-q4-2023"/>
    <w:p>
      <w:pPr>
        <w:pStyle w:val="Heading2"/>
      </w:pPr>
      <w:r>
        <w:t xml:space="preserve">Strategic Recommendations for Q4 2023</w:t>
      </w:r>
    </w:p>
    <w:p>
      <w:pPr>
        <w:pStyle w:val="FirstParagraph"/>
      </w:pPr>
      <w:r>
        <w:t xml:space="preserve">Based on our Sales Report analysis, we recommend the following priorities for Academic Researcher market expansion in Russia's Saint Petersburg:</w:t>
      </w:r>
    </w:p>
    <w:p>
      <w:pPr>
        <w:numPr>
          <w:ilvl w:val="0"/>
          <w:numId w:val="1005"/>
        </w:numPr>
        <w:pStyle w:val="Compact"/>
      </w:pPr>
      <w:r>
        <w:rPr>
          <w:bCs/>
          <w:b/>
        </w:rPr>
        <w:t xml:space="preserve">Launch "St. Petersburg Research Passport" Program</w:t>
      </w:r>
      <w:r>
        <w:t xml:space="preserve">: A unified digital credential integrating access to 15+ city-wide research facilities and funding databases (expected to capture 30% of new academic users).</w:t>
      </w:r>
    </w:p>
    <w:p>
      <w:pPr>
        <w:numPr>
          <w:ilvl w:val="0"/>
          <w:numId w:val="1005"/>
        </w:numPr>
        <w:pStyle w:val="Compact"/>
      </w:pPr>
      <w:r>
        <w:rPr>
          <w:bCs/>
          <w:b/>
        </w:rPr>
        <w:t xml:space="preserve">Establish Local R&amp;D Innovation Hub</w:t>
      </w:r>
      <w:r>
        <w:t xml:space="preserve">: Co-locate with the St. Petersburg Science Park to develop solutions co-created by researchers, building deeper market trust.</w:t>
      </w:r>
    </w:p>
    <w:p>
      <w:pPr>
        <w:numPr>
          <w:ilvl w:val="0"/>
          <w:numId w:val="1005"/>
        </w:numPr>
        <w:pStyle w:val="Compact"/>
      </w:pPr>
      <w:r>
        <w:rPr>
          <w:bCs/>
          <w:b/>
        </w:rPr>
        <w:t xml:space="preserve">Government Partnership Initiative</w:t>
      </w:r>
      <w:r>
        <w:t xml:space="preserve">: Propose a pilot program with the Saint Petersburg Ministry of Science for our platform to support regional grant management (aligning with city's 2024 budget priorities).</w:t>
      </w:r>
    </w:p>
    <w:bookmarkEnd w:id="26"/>
    <w:bookmarkStart w:id="27" w:name="X63caa6ba505b90d00605bb95cbf59e5f629d4df"/>
    <w:p>
      <w:pPr>
        <w:pStyle w:val="Heading2"/>
      </w:pPr>
      <w:r>
        <w:t xml:space="preserve">Conclusion: The Future of Academic Research in Saint Petersburg</w:t>
      </w:r>
    </w:p>
    <w:p>
      <w:pPr>
        <w:pStyle w:val="FirstParagraph"/>
      </w:pPr>
      <w:r>
        <w:t xml:space="preserve">The Academic Researcher market in Russia's Saint Petersburg represents more than a sales opportunity – it is the epicenter of Russia's scientific renaissance. Our Sales Report confirms that by embedding our solutions within the city's unique academic infrastructure and regulatory environment, we've transformed from service provider to strategic partner for 120+ research institutions. With federal investment accelerating in Saint Petersburg as a "Science Capital," our localized approach positions us to capture 65% of the market share for specialized academic tools by Q4 2025. As one leading researcher at St. Petersburg State University recently noted: "Your platform doesn't just support our work – it becomes part of how we think." This sentiment, echoed across every institution in our Saint Petersburg network, defines the future we're building together.</w:t>
      </w:r>
    </w:p>
    <w:p>
      <w:pPr>
        <w:pStyle w:val="BodyText"/>
      </w:pPr>
      <w:r>
        <w:t xml:space="preserve">Prepared for:** Executive Leadership &amp; Regional Sales Management</w:t>
      </w:r>
    </w:p>
    <w:p>
      <w:pPr>
        <w:pStyle w:val="BodyText"/>
      </w:pPr>
      <w:r>
        <w:t xml:space="preserve">Date:** October 26, 2023</w:t>
      </w:r>
    </w:p>
    <w:p>
      <w:pPr>
        <w:pStyle w:val="BodyText"/>
      </w:pPr>
      <w:r>
        <w:rPr>
          <w:bCs/>
          <w:b/>
        </w:rPr>
        <w:t xml:space="preserve">Report Length:**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in Saint Petersburg, Russia</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