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de3b02f6308fbab8ea28aee891cfd73d92899e3"/>
    <w:p>
      <w:pPr>
        <w:pStyle w:val="Heading1"/>
      </w:pPr>
      <w:r>
        <w:t xml:space="preserve">Sales Report: Academic Researcher Performance Analysis for Riyadh, Saudi Arabia (Q3 2023)</w:t>
      </w:r>
    </w:p>
    <w:bookmarkStart w:id="20" w:name="prepared-for"/>
    <w:p>
      <w:pPr>
        <w:pStyle w:val="Heading2"/>
      </w:pPr>
      <w:r>
        <w:t xml:space="preserve">Prepared For:</w:t>
      </w:r>
    </w:p>
    <w:p>
      <w:pPr>
        <w:pStyle w:val="FirstParagraph"/>
      </w:pPr>
      <w:r>
        <w:t xml:space="preserve">Riyadh Academic Excellence Board &amp; King Abdullah University of Science and Technology (KAUST) Leadership</w:t>
      </w:r>
    </w:p>
    <w:bookmarkEnd w:id="20"/>
    <w:bookmarkStart w:id="21" w:name="report-period"/>
    <w:p>
      <w:pPr>
        <w:pStyle w:val="Heading2"/>
      </w:pPr>
      <w:r>
        <w:t xml:space="preserve">Report Period:</w:t>
      </w:r>
    </w:p>
    <w:p>
      <w:pPr>
        <w:pStyle w:val="FirstParagraph"/>
      </w:pPr>
      <w:r>
        <w:t xml:space="preserve">July 1, 2023 – September 30, 2023</w:t>
      </w:r>
    </w:p>
    <w:bookmarkEnd w:id="21"/>
    <w:bookmarkStart w:id="22" w:name="executive-summary"/>
    <w:p>
      <w:pPr>
        <w:pStyle w:val="Heading2"/>
      </w:pPr>
      <w:r>
        <w:t xml:space="preserve">Executive Summary</w:t>
      </w:r>
    </w:p>
    <w:p>
      <w:pPr>
        <w:pStyle w:val="FirstParagraph"/>
      </w:pPr>
      <w:r>
        <w:t xml:space="preserve">This Sales Report details the strategic performance of Dr. Fatima Al-Saud, Senior Academic Researcher at KAUST's Innovation Hub in Riyadh. Within Saudi Arabia's transformative Vision 2030 framework, Dr. Al-Saud has demonstrated exceptional sales acumen in securing research funding and fostering industry-academia partnerships—a critical metric for academic advancement across the Kingdom. This report quantifies her achievements in driving revenue growth through research commercialization, directly supporting Saudi Arabia's goal to become a global knowledge economy leader from Riyadh.</w:t>
      </w:r>
    </w:p>
    <w:bookmarkEnd w:id="22"/>
    <w:bookmarkStart w:id="23" w:name="key-performance-indicators-kpis-overview"/>
    <w:p>
      <w:pPr>
        <w:pStyle w:val="Heading2"/>
      </w:pPr>
      <w:r>
        <w:t xml:space="preserve">Key Performance Indicators (KPIs) Overview</w:t>
      </w:r>
    </w:p>
    <w:p>
      <w:pPr>
        <w:pStyle w:val="FirstParagraph"/>
      </w:pPr>
      <w:r>
        <w:t xml:space="preserve">KPI Category</w:t>
      </w:r>
    </w:p>
    <w:p>
      <w:pPr>
        <w:pStyle w:val="BodyText"/>
      </w:pPr>
      <w:r>
        <w:t xml:space="preserve">Target</w:t>
      </w:r>
    </w:p>
    <w:p>
      <w:pPr>
        <w:pStyle w:val="BodyText"/>
      </w:pPr>
      <w:r>
        <w:t xml:space="preserve">Actual Achieved</w:t>
      </w:r>
    </w:p>
    <w:p>
      <w:pPr>
        <w:pStyle w:val="BodyText"/>
      </w:pPr>
      <w:r>
        <w:t xml:space="preserve">Varience</w:t>
      </w:r>
    </w:p>
    <w:p>
      <w:pPr>
        <w:pStyle w:val="BodyText"/>
      </w:pPr>
      <w:r>
        <w:t xml:space="preserve">Funding Secured (SAR)</w:t>
      </w:r>
    </w:p>
    <w:p>
      <w:pPr>
        <w:pStyle w:val="BodyText"/>
      </w:pPr>
      <w:r>
        <w:t xml:space="preserve">18,500,000</w:t>
      </w:r>
    </w:p>
    <w:p>
      <w:pPr>
        <w:pStyle w:val="BodyText"/>
      </w:pPr>
      <w:r>
        <w:t xml:space="preserve">24,750,000</w:t>
      </w:r>
    </w:p>
    <w:p>
      <w:pPr>
        <w:pStyle w:val="BodyText"/>
      </w:pPr>
      <w:r>
        <w:t xml:space="preserve">+33.8%</w:t>
      </w:r>
    </w:p>
    <w:p>
      <w:pPr>
        <w:pStyle w:val="BodyText"/>
      </w:pPr>
      <w:r>
        <w:t xml:space="preserve">New Industry Partnerships</w:t>
      </w:r>
    </w:p>
    <w:p>
      <w:pPr>
        <w:pStyle w:val="BodyText"/>
      </w:pPr>
      <w:r>
        <w:t xml:space="preserve">6</w:t>
      </w:r>
    </w:p>
    <w:p>
      <w:pPr>
        <w:pStyle w:val="BodyText"/>
      </w:pPr>
      <w:r>
        <w:t xml:space="preserve">&lt;</w:t>
      </w:r>
    </w:p>
    <w:p>
      <w:pPr>
        <w:pStyle w:val="BodyText"/>
      </w:pPr>
      <w:r>
        <w:t xml:space="preserve">9</w:t>
      </w:r>
    </w:p>
    <w:p>
      <w:pPr>
        <w:pStyle w:val="BodyText"/>
      </w:pPr>
      <w:r>
        <w:t xml:space="preserve">+50%</w:t>
      </w:r>
    </w:p>
    <w:p>
      <w:pPr>
        <w:pStyle w:val="BodyText"/>
      </w:pPr>
      <w:r>
        <w:t xml:space="preserve">Research Commercialization Deals</w:t>
      </w:r>
    </w:p>
    <w:p>
      <w:pPr>
        <w:pStyle w:val="BodyText"/>
      </w:pPr>
      <w:r>
        <w:t xml:space="preserve">47+75%</w:t>
      </w:r>
    </w:p>
    <w:p>
      <w:pPr>
        <w:pStyle w:val="BodyText"/>
      </w:pPr>
      <w:r>
        <w:t xml:space="preserve">Riyadh-Based Collaborations</w:t>
      </w:r>
    </w:p>
    <w:p>
      <w:pPr>
        <w:pStyle w:val="BodyText"/>
      </w:pPr>
      <w:r>
        <w:t xml:space="preserve">8</w:t>
      </w:r>
    </w:p>
    <w:p>
      <w:pPr>
        <w:pStyle w:val="BodyText"/>
      </w:pPr>
      <w:r>
        <w:t xml:space="preserve">12</w:t>
      </w:r>
    </w:p>
    <w:p>
      <w:pPr>
        <w:pStyle w:val="BodyText"/>
      </w:pPr>
      <w:r>
        <w:t xml:space="preserve">+50%</w:t>
      </w:r>
    </w:p>
    <w:bookmarkEnd w:id="23"/>
    <w:bookmarkStart w:id="27" w:name="X01605cb5d8947e3d01bc5d2a9605d68bb041d4d"/>
    <w:p>
      <w:pPr>
        <w:pStyle w:val="Heading2"/>
      </w:pPr>
      <w:r>
        <w:t xml:space="preserve">Detailed Performance Analysis: Academic Researcher as Strategic Sales Driver</w:t>
      </w:r>
    </w:p>
    <w:bookmarkStart w:id="24" w:name="X1ac6bbce292b94990373a03bf1755da950702bd"/>
    <w:p>
      <w:pPr>
        <w:pStyle w:val="Heading3"/>
      </w:pPr>
      <w:r>
        <w:t xml:space="preserve">1. Vision 2030-Aligned Funding Acquisition (Riyadh Focus)</w:t>
      </w:r>
    </w:p>
    <w:p>
      <w:pPr>
        <w:pStyle w:val="FirstParagraph"/>
      </w:pPr>
      <w:r>
        <w:t xml:space="preserve">Dr. Al-Saud exceeded targets by securing SAR 6,250,000 in additional funding through Saudi Arabia's National Priorities Research Program (NPRP). Her sales approach centered on aligning research proposals with Riyadh's Smart City Initiative and renewable energy goals. Notable wins include:</w:t>
      </w:r>
    </w:p>
    <w:p>
      <w:pPr>
        <w:numPr>
          <w:ilvl w:val="0"/>
          <w:numId w:val="1001"/>
        </w:numPr>
        <w:pStyle w:val="Compact"/>
      </w:pPr>
      <w:r>
        <w:rPr>
          <w:bCs/>
          <w:b/>
        </w:rPr>
        <w:t xml:space="preserve">NEOM Energy Partnership:</w:t>
      </w:r>
      <w:r>
        <w:t xml:space="preserve"> </w:t>
      </w:r>
      <w:r>
        <w:t xml:space="preserve">SAR 8.2M for AI-driven solar grid optimization (Riyadh-based engineering team)</w:t>
      </w:r>
    </w:p>
    <w:p>
      <w:pPr>
        <w:numPr>
          <w:ilvl w:val="0"/>
          <w:numId w:val="1001"/>
        </w:numPr>
        <w:pStyle w:val="Compact"/>
      </w:pPr>
      <w:r>
        <w:rPr>
          <w:bCs/>
          <w:b/>
        </w:rPr>
        <w:t xml:space="preserve">Saudi Aramco Innovation Fund:</w:t>
      </w:r>
      <w:r>
        <w:t xml:space="preserve"> </w:t>
      </w:r>
      <w:r>
        <w:t xml:space="preserve">SAR 9.5M for carbon capture research in collaboration with Riyadh Technical University</w:t>
      </w:r>
    </w:p>
    <w:p>
      <w:pPr>
        <w:numPr>
          <w:ilvl w:val="0"/>
          <w:numId w:val="1001"/>
        </w:numPr>
        <w:pStyle w:val="Compact"/>
      </w:pPr>
      <w:r>
        <w:rPr>
          <w:bCs/>
          <w:b/>
        </w:rPr>
        <w:t xml:space="preserve">Riyadh Development Authority Grant:</w:t>
      </w:r>
      <w:r>
        <w:t xml:space="preserve"> </w:t>
      </w:r>
      <w:r>
        <w:t xml:space="preserve">SAR 7.0M for smart water management systems</w:t>
      </w:r>
    </w:p>
    <w:p>
      <w:pPr>
        <w:pStyle w:val="FirstParagraph"/>
      </w:pPr>
      <w:r>
        <w:t xml:space="preserve">Her sales strategy emphasized ROI narratives tailored to Saudi Arabia's economic diversification priorities, converting 68% of initial inquiries into funded projects—surpassing the regional average of 42%.</w:t>
      </w:r>
    </w:p>
    <w:bookmarkEnd w:id="24"/>
    <w:bookmarkStart w:id="25" w:name="industry-partnership-expansion-in-riyadh"/>
    <w:p>
      <w:pPr>
        <w:pStyle w:val="Heading3"/>
      </w:pPr>
      <w:r>
        <w:t xml:space="preserve">2. Industry Partnership Expansion in Riyadh</w:t>
      </w:r>
    </w:p>
    <w:p>
      <w:pPr>
        <w:pStyle w:val="FirstParagraph"/>
      </w:pPr>
      <w:r>
        <w:t xml:space="preserve">The Academic Researcher successfully onboarded three major Riyadh-based corporations as strategic partners:</w:t>
      </w:r>
    </w:p>
    <w:p>
      <w:pPr>
        <w:numPr>
          <w:ilvl w:val="0"/>
          <w:numId w:val="1002"/>
        </w:numPr>
        <w:pStyle w:val="Compact"/>
      </w:pPr>
      <w:r>
        <w:rPr>
          <w:bCs/>
          <w:b/>
        </w:rPr>
        <w:t xml:space="preserve">Al-Jazira Holding:</w:t>
      </w:r>
      <w:r>
        <w:t xml:space="preserve"> </w:t>
      </w:r>
      <w:r>
        <w:t xml:space="preserve">Joint R&amp;D facility for biotechnology (SAR 5.1M annual commitment)</w:t>
      </w:r>
    </w:p>
    <w:p>
      <w:pPr>
        <w:pStyle w:val="FirstParagraph"/>
      </w:pPr>
      <w:r>
        <w:t xml:space="preserve">Dr. Al-Saud's sales technique involved personalized value propositions demonstrating how academic research directly addresses Riyadh's urban challenges—e.g., reducing water waste by 27% in pilot projects for the city government.</w:t>
      </w:r>
    </w:p>
    <w:bookmarkEnd w:id="25"/>
    <w:bookmarkStart w:id="26" w:name="commercialization-revenue-growth"/>
    <w:p>
      <w:pPr>
        <w:pStyle w:val="Heading3"/>
      </w:pPr>
      <w:r>
        <w:t xml:space="preserve">3. Commercialization Revenue Growth</w:t>
      </w:r>
    </w:p>
    <w:p>
      <w:pPr>
        <w:pStyle w:val="FirstParagraph"/>
      </w:pPr>
      <w:r>
        <w:t xml:space="preserve">As an Academic Researcher with dual sales/research expertise, Dr. Al-Saud led seven commercialization deals generating SAR 12,800,000 in direct revenue:</w:t>
      </w:r>
    </w:p>
    <w:p>
      <w:pPr>
        <w:numPr>
          <w:ilvl w:val="0"/>
          <w:numId w:val="1003"/>
        </w:numPr>
        <w:pStyle w:val="Compact"/>
      </w:pPr>
      <w:r>
        <w:rPr>
          <w:bCs/>
          <w:b/>
        </w:rPr>
        <w:t xml:space="preserve">Patent Licensing:</w:t>
      </w:r>
      <w:r>
        <w:t xml:space="preserve"> </w:t>
      </w:r>
      <w:r>
        <w:t xml:space="preserve">AI water management algorithm licensed to Riyadh-based startup "Nexus Water" (SAR 3.2M)</w:t>
      </w:r>
    </w:p>
    <w:p>
      <w:pPr>
        <w:numPr>
          <w:ilvl w:val="0"/>
          <w:numId w:val="1003"/>
        </w:numPr>
        <w:pStyle w:val="Compact"/>
      </w:pPr>
      <w:r>
        <w:rPr>
          <w:bCs/>
          <w:b/>
        </w:rPr>
        <w:t xml:space="preserve">Consulting Services:</w:t>
      </w:r>
      <w:r>
        <w:t xml:space="preserve"> </w:t>
      </w:r>
      <w:r>
        <w:t xml:space="preserve">Technical advisory contracts with five Riyadh businesses (SAR 5.7M)</w:t>
      </w:r>
    </w:p>
    <w:p>
      <w:pPr>
        <w:numPr>
          <w:ilvl w:val="0"/>
          <w:numId w:val="1003"/>
        </w:numPr>
        <w:pStyle w:val="Compact"/>
      </w:pPr>
      <w:r>
        <w:rPr>
          <w:bCs/>
          <w:b/>
        </w:rPr>
        <w:t xml:space="preserve">Workshop Sales:</w:t>
      </w:r>
      <w:r>
        <w:t xml:space="preserve"> </w:t>
      </w:r>
      <w:r>
        <w:t xml:space="preserve">12 high-value research methodology sessions for Saudi corporations (SAR 3.9M)</w:t>
      </w:r>
    </w:p>
    <w:p>
      <w:pPr>
        <w:pStyle w:val="FirstParagraph"/>
      </w:pPr>
      <w:r>
        <w:t xml:space="preserve">This represents a 210% increase in commercialization revenue compared to Q2, positioning KAUST as Riyadh's top academic innovation hub.</w:t>
      </w:r>
    </w:p>
    <w:bookmarkEnd w:id="26"/>
    <w:bookmarkEnd w:id="27"/>
    <w:bookmarkStart w:id="28" w:name="X252dc453d159d0d4fc6971466e58025ab62dfb2"/>
    <w:p>
      <w:pPr>
        <w:pStyle w:val="Heading2"/>
      </w:pPr>
      <w:r>
        <w:t xml:space="preserve">Market Analysis: Riyadh's Academic Research Sales Landscape</w:t>
      </w:r>
    </w:p>
    <w:p>
      <w:pPr>
        <w:pStyle w:val="FirstParagraph"/>
      </w:pPr>
      <w:r>
        <w:t xml:space="preserve">Riyadh serves as Saudi Arabia's primary innovation epicenter, with the Kingdom investing SAR 45 billion in R&amp;D by 2030. Our analysis confirms that successful Academic Researchers in Riyadh must master three sales imperatives:</w:t>
      </w:r>
    </w:p>
    <w:p>
      <w:pPr>
        <w:numPr>
          <w:ilvl w:val="0"/>
          <w:numId w:val="1004"/>
        </w:numPr>
        <w:pStyle w:val="Compact"/>
      </w:pPr>
      <w:r>
        <w:rPr>
          <w:bCs/>
          <w:b/>
        </w:rPr>
        <w:t xml:space="preserve">Cultural Alignment:</w:t>
      </w:r>
      <w:r>
        <w:t xml:space="preserve"> </w:t>
      </w:r>
      <w:r>
        <w:t xml:space="preserve">Understanding Saudi business protocols (e.g., prioritizing relationship-building over rapid contracts)</w:t>
      </w:r>
    </w:p>
    <w:p>
      <w:pPr>
        <w:numPr>
          <w:ilvl w:val="0"/>
          <w:numId w:val="1004"/>
        </w:numPr>
        <w:pStyle w:val="Compact"/>
      </w:pPr>
      <w:r>
        <w:rPr>
          <w:bCs/>
          <w:b/>
        </w:rPr>
        <w:t xml:space="preserve">National Vision Integration:</w:t>
      </w:r>
      <w:r>
        <w:t xml:space="preserve"> </w:t>
      </w:r>
      <w:r>
        <w:t xml:space="preserve">Explicitly linking proposals to Vision 2030 pillars like "Sustainable Cities" and "Advanced Technology"</w:t>
      </w:r>
    </w:p>
    <w:p>
      <w:pPr>
        <w:numPr>
          <w:ilvl w:val="0"/>
          <w:numId w:val="1004"/>
        </w:numPr>
        <w:pStyle w:val="Compact"/>
      </w:pPr>
      <w:r>
        <w:rPr>
          <w:bCs/>
          <w:b/>
        </w:rPr>
        <w:t xml:space="preserve">Local Impact Measurement:</w:t>
      </w:r>
      <w:r>
        <w:t xml:space="preserve"> </w:t>
      </w:r>
      <w:r>
        <w:t xml:space="preserve">Quantifying community benefits (e.g., job creation in Riyadh, youth skill development)</w:t>
      </w:r>
    </w:p>
    <w:p>
      <w:pPr>
        <w:pStyle w:val="FirstParagraph"/>
      </w:pPr>
      <w:r>
        <w:t xml:space="preserve">Dr. Al-Saud's sales approach exemplifies this framework—her proposals consistently reference Riyadh's municipal goals and include measurable KPIs for local economic impact.</w:t>
      </w:r>
    </w:p>
    <w:bookmarkEnd w:id="28"/>
    <w:bookmarkStart w:id="29" w:name="challenges-strategic-solutions"/>
    <w:p>
      <w:pPr>
        <w:pStyle w:val="Heading2"/>
      </w:pPr>
      <w:r>
        <w:t xml:space="preserve">Challenges &amp; Strategic Solutions</w:t>
      </w:r>
    </w:p>
    <w:p>
      <w:pPr>
        <w:pStyle w:val="FirstParagraph"/>
      </w:pPr>
      <w:r>
        <w:t xml:space="preserve">Challenge</w:t>
      </w:r>
    </w:p>
    <w:p>
      <w:pPr>
        <w:pStyle w:val="BodyText"/>
      </w:pPr>
      <w:r>
        <w:t xml:space="preserve">Sales Strategy Implemented</w:t>
      </w:r>
    </w:p>
    <w:p>
      <w:pPr>
        <w:pStyle w:val="BodyText"/>
      </w:pPr>
      <w:r>
        <w:t xml:space="preserve">Result in Riyadh Context</w:t>
      </w:r>
    </w:p>
    <w:p>
      <w:pPr>
        <w:pStyle w:val="BodyText"/>
      </w:pPr>
      <w:r>
        <w:t xml:space="preserve">Limited Industry Awareness of Academic Capabilities</w:t>
      </w:r>
    </w:p>
    <w:p>
      <w:pPr>
        <w:pStyle w:val="BodyText"/>
      </w:pPr>
      <w:r>
        <w:t xml:space="preserve">Pioneered "KAUST Research Showcase" events across Riyadh business hubs (25+ corporations)</w:t>
      </w:r>
    </w:p>
    <w:p>
      <w:pPr>
        <w:pStyle w:val="BodyText"/>
      </w:pPr>
      <w:r>
        <w:t xml:space="preserve">37% increase in inbound partnership requests from Riyadh firms</w:t>
      </w:r>
    </w:p>
    <w:p>
      <w:pPr>
        <w:pStyle w:val="BodyText"/>
      </w:pPr>
      <w:r>
        <w:t xml:space="preserve">Bureaucratic Funding Delays</w:t>
      </w:r>
    </w:p>
    <w:p>
      <w:pPr>
        <w:pStyle w:val="BodyText"/>
      </w:pPr>
      <w:r>
        <w:t xml:space="preserve">Developed pre-submission alignment protocol with Saudi Ministry of Investment</w:t>
      </w:r>
    </w:p>
    <w:p>
      <w:pPr>
        <w:pStyle w:val="BodyText"/>
      </w:pPr>
      <w:r>
        <w:rPr>
          <w:bCs/>
          <w:b/>
        </w:rPr>
        <w:t xml:space="preserve">Reduced approval time by 58%</w:t>
      </w:r>
    </w:p>
    <w:p>
      <w:pPr>
        <w:pStyle w:val="BodyText"/>
      </w:pPr>
      <w:r>
        <w:t xml:space="preserve">Saudi Talent Pipeline Gaps for Research Sales Roles</w:t>
      </w:r>
    </w:p>
    <w:p>
      <w:pPr>
        <w:pStyle w:val="BodyText"/>
      </w:pPr>
      <w:r>
        <w:t xml:space="preserve">Launched "Research Sales Ambassador" program with Riyadh universitiesTrained 42 early-career researchers in sales techniques</w:t>
      </w:r>
    </w:p>
    <w:bookmarkEnd w:id="29"/>
    <w:bookmarkStart w:id="30" w:name="Xce352ce3d1a10cb5149186cb441f160f4eb2d17"/>
    <w:p>
      <w:pPr>
        <w:pStyle w:val="Heading2"/>
      </w:pPr>
      <w:r>
        <w:t xml:space="preserve">Future Strategic Recommendations (Riyadh-Specific)</w:t>
      </w:r>
    </w:p>
    <w:p>
      <w:pPr>
        <w:pStyle w:val="FirstParagraph"/>
      </w:pPr>
      <w:r>
        <w:t xml:space="preserve">To sustain this Academic Researcher-driven sales momentum in Saudi Arabia, we recommend:</w:t>
      </w:r>
    </w:p>
    <w:p>
      <w:pPr>
        <w:numPr>
          <w:ilvl w:val="0"/>
          <w:numId w:val="1005"/>
        </w:numPr>
        <w:pStyle w:val="Compact"/>
      </w:pPr>
      <w:r>
        <w:rPr>
          <w:bCs/>
          <w:b/>
        </w:rPr>
        <w:t xml:space="preserve">Riyadh Innovation District Integration:</w:t>
      </w:r>
      <w:r>
        <w:t xml:space="preserve"> </w:t>
      </w:r>
      <w:r>
        <w:t xml:space="preserve">Co-locate KAUST's sales team with Riyadh's new Innovation District to accelerate partnership conversions</w:t>
      </w:r>
    </w:p>
    <w:p>
      <w:pPr>
        <w:numPr>
          <w:ilvl w:val="0"/>
          <w:numId w:val="1005"/>
        </w:numPr>
        <w:pStyle w:val="Compact"/>
      </w:pPr>
      <w:r>
        <w:rPr>
          <w:bCs/>
          <w:b/>
        </w:rPr>
        <w:t xml:space="preserve">Vision 2030 Sales Framework Adoption:</w:t>
      </w:r>
      <w:r>
        <w:t xml:space="preserve"> </w:t>
      </w:r>
      <w:r>
        <w:t xml:space="preserve">Mandate all research proposals include a dedicated "Commercialization &amp; Partnership" section aligned with national goals</w:t>
      </w:r>
    </w:p>
    <w:p>
      <w:pPr>
        <w:numPr>
          <w:ilvl w:val="0"/>
          <w:numId w:val="1005"/>
        </w:numPr>
        <w:pStyle w:val="Compact"/>
      </w:pPr>
      <w:r>
        <w:rPr>
          <w:bCs/>
          <w:b/>
        </w:rPr>
        <w:t xml:space="preserve">Saudi-Local Sales Certification:</w:t>
      </w:r>
      <w:r>
        <w:t xml:space="preserve"> </w:t>
      </w:r>
      <w:r>
        <w:t xml:space="preserve">Partner with Riyadh Chamber of Commerce to establish certification for Academic Researchers in sales methodologies</w:t>
      </w:r>
    </w:p>
    <w:bookmarkEnd w:id="30"/>
    <w:bookmarkStart w:id="31" w:name="X1b417bbab9a062ba32a84884c03a041c07d61c6"/>
    <w:p>
      <w:pPr>
        <w:pStyle w:val="Heading2"/>
      </w:pPr>
      <w:r>
        <w:t xml:space="preserve">Conclusion: The Strategic Value of Academic Researcher Sales Performance</w:t>
      </w:r>
    </w:p>
    <w:p>
      <w:pPr>
        <w:pStyle w:val="FirstParagraph"/>
      </w:pPr>
      <w:r>
        <w:t xml:space="preserve">This report confirms that the role of an Academic Researcher in Saudi Arabia's Riyadh ecosystem has evolved beyond traditional research into a critical revenue-generating function. Dr. Fatima Al-Saud's performance demonstrates that when equipped with sales expertise and national vision alignment, researchers directly accelerate Saudi Arabia's economic transformation. Her SAR 24.75M funding achievement represents more than financial success—it signifies successful integration of academic rigor with Riyadh's strategic priorities, creating a replicable model for all Saudi research institutions.</w:t>
      </w:r>
    </w:p>
    <w:p>
      <w:pPr>
        <w:pStyle w:val="BodyText"/>
      </w:pPr>
      <w:r>
        <w:t xml:space="preserve">As Kingdom leaders prioritize knowledge-based growth, the sales performance metrics of Academic Researchers will become as vital as publication records. The success achieved in Riyadh this quarter proves that when research expertise meets commercial acumen within Saudi Arabia's unique context, it delivers exceptional returns for both academic institutions and the national economy. We recommend institutionalizing this sales-driven research model across all KAUST departments to maximize Riyadh's position as the Kingdom's innovation capital under Vision 2030.</w:t>
      </w:r>
    </w:p>
    <w:p>
      <w:pPr>
        <w:pStyle w:val="BodyText"/>
      </w:pPr>
      <w:r>
        <w:rPr>
          <w:bCs/>
          <w:b/>
        </w:rPr>
        <w:t xml:space="preserve">Prepared By:</w:t>
      </w:r>
      <w:r>
        <w:t xml:space="preserve"> </w:t>
      </w:r>
      <w:r>
        <w:t xml:space="preserve">Research Sales Intelligence Team, KAUST Riyadh Innovation Hub</w:t>
      </w:r>
      <w:r>
        <w:br/>
      </w:r>
      <w:r>
        <w:rPr>
          <w:bCs/>
          <w:b/>
        </w:rPr>
        <w:t xml:space="preserve">Date:</w:t>
      </w:r>
      <w:r>
        <w:t xml:space="preserve"> </w:t>
      </w:r>
      <w:r>
        <w:t xml:space="preserve">October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Riyadh, Saudi Arabia</dc:title>
  <dc:creator/>
  <dc:language>en</dc:language>
  <cp:keywords/>
  <dcterms:created xsi:type="dcterms:W3CDTF">2026-06-02T18:16:31Z</dcterms:created>
  <dcterms:modified xsi:type="dcterms:W3CDTF">2026-06-02T18:16:31Z</dcterms:modified>
</cp:coreProperties>
</file>

<file path=docProps/custom.xml><?xml version="1.0" encoding="utf-8"?>
<Properties xmlns="http://schemas.openxmlformats.org/officeDocument/2006/custom-properties" xmlns:vt="http://schemas.openxmlformats.org/officeDocument/2006/docPropsVTypes"/>
</file>