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7" w:name="X31b31c31b9f0bcea98bf3c1cac91d84f5d8a7fe"/>
    <w:p>
      <w:pPr>
        <w:pStyle w:val="Heading1"/>
      </w:pPr>
      <w:r>
        <w:t xml:space="preserve">Sales Report: Strategic Growth of Academic Researcher Engagement in Singapore Singapore</w:t>
      </w:r>
    </w:p>
    <w:bookmarkStart w:id="20" w:name="introduction"/>
    <w:p>
      <w:pPr>
        <w:pStyle w:val="Heading2"/>
      </w:pPr>
      <w:r>
        <w:t xml:space="preserve">Introduction</w:t>
      </w:r>
    </w:p>
    <w:p>
      <w:pPr>
        <w:pStyle w:val="FirstParagraph"/>
      </w:pPr>
      <w:r>
        <w:t xml:space="preserve">This comprehensive Sales Report examines the critical intersection between academic research commercialization and market dynamics within Singapore, with specific emphasis on the role of the Academic Researcher as a pivotal sales catalyst. As Singapore continues to solidify its position as Asia's premier innovation hub, this report details how strategic engagement with Academic Researchers has driven measurable revenue growth across key sectors including biotechnology, advanced manufacturing, and sustainable technology. The analysis confirms that Singapore Singapore—a nation where research excellence directly fuels economic diversification—requires specialized sales approaches tailored to the unique value propositions of academic expertise.</w:t>
      </w:r>
    </w:p>
    <w:bookmarkEnd w:id="20"/>
    <w:bookmarkStart w:id="21" w:name="X0590102bf82c6ea9c0442d999b038824168d93d"/>
    <w:p>
      <w:pPr>
        <w:pStyle w:val="Heading2"/>
      </w:pPr>
      <w:r>
        <w:t xml:space="preserve">Market Landscape: Academic Researcher as Sales Accelerator</w:t>
      </w:r>
    </w:p>
    <w:p>
      <w:pPr>
        <w:pStyle w:val="FirstParagraph"/>
      </w:pPr>
      <w:r>
        <w:t xml:space="preserve">In Singapore, the Academic Researcher transcends traditional university roles to become a high-impact sales channel. With 80% of Singapore's research funding now tied to industry partnerships (National Research Foundation 2023), our data reveals that researchers directly influence 67% of commercial R&amp;D contracts. This represents a paradigm shift where the Academic Researcher’s credibility—validated through publications and patents—serves as the ultimate sales credential in Singapore Singapore’s trust-based business ecosystem. Unlike conventional sales teams, Academic Researchers leverage institutional prestige to shorten decision cycles, particularly in high-value B2B engagements with Singaporean multinational corporations and government-linked entities.</w:t>
      </w:r>
    </w:p>
    <w:p>
      <w:pPr>
        <w:pStyle w:val="BodyText"/>
      </w:pPr>
      <w:r>
        <w:t xml:space="preserve">Notably, our 2023-2024 pipeline demonstrates that proposals authored by Academic Researchers achieve 4.3x faster client conversion rates compared to sales-led approaches. This is especially pronounced in Singapore's biomedical sector, where projects like the $15M SingHealth-NUS AI diagnostics initiative closed within 6 months—attributable entirely to researcher-led technical validation and trust-building.</w:t>
      </w:r>
    </w:p>
    <w:bookmarkEnd w:id="21"/>
    <w:bookmarkStart w:id="22" w:name="Xe03f47c6bbf495c82d3176460b498b4b30a8d1d"/>
    <w:p>
      <w:pPr>
        <w:pStyle w:val="Heading2"/>
      </w:pPr>
      <w:r>
        <w:t xml:space="preserve">Strategic Sales Framework: Aligning with Singapore’s Research Ecosystem</w:t>
      </w:r>
    </w:p>
    <w:p>
      <w:pPr>
        <w:pStyle w:val="FirstParagraph"/>
      </w:pPr>
      <w:r>
        <w:t xml:space="preserve">Our sales methodology has undergone a fundamental transformation to integrate Academic Researchers as co-sellers. This framework, developed in partnership with A*STAR (Agency for Science, Technology and Research), comprises three pillars:</w:t>
      </w:r>
    </w:p>
    <w:p>
      <w:pPr>
        <w:numPr>
          <w:ilvl w:val="0"/>
          <w:numId w:val="1001"/>
        </w:numPr>
        <w:pStyle w:val="Compact"/>
      </w:pPr>
      <w:r>
        <w:rPr>
          <w:bCs/>
          <w:b/>
        </w:rPr>
        <w:t xml:space="preserve">Value-Driven Pitch Integration</w:t>
      </w:r>
      <w:r>
        <w:t xml:space="preserve">: Sales teams now collaborate with researchers to co-develop solution narratives that highlight Singapore-specific regulatory advantages (e.g., Health Sciences Authority fast-tracking) and local talent pipelines.</w:t>
      </w:r>
    </w:p>
    <w:p>
      <w:pPr>
        <w:numPr>
          <w:ilvl w:val="0"/>
          <w:numId w:val="1001"/>
        </w:numPr>
        <w:pStyle w:val="Compact"/>
      </w:pPr>
      <w:r>
        <w:rPr>
          <w:bCs/>
          <w:b/>
        </w:rPr>
        <w:t xml:space="preserve">Academic-Centric Incentive Structure</w:t>
      </w:r>
      <w:r>
        <w:t xml:space="preserve">: We've implemented revenue-sharing models where 15% of project value flows directly to participating Academic Researchers, aligning their success with ours. This has increased researcher engagement by 310% since Q1 2023.</w:t>
      </w:r>
    </w:p>
    <w:p>
      <w:pPr>
        <w:numPr>
          <w:ilvl w:val="0"/>
          <w:numId w:val="1001"/>
        </w:numPr>
        <w:pStyle w:val="Compact"/>
      </w:pPr>
      <w:r>
        <w:rPr>
          <w:bCs/>
          <w:b/>
        </w:rPr>
        <w:t xml:space="preserve">Singapore Compliance Acceleration</w:t>
      </w:r>
      <w:r>
        <w:t xml:space="preserve">: All sales collateral now includes Singapore-specific regulatory compliance certifications (e.g., IMDA AI governance standards), reducing onboarding friction for clients in the Singapore Singapore market.</w:t>
      </w:r>
    </w:p>
    <w:bookmarkEnd w:id="22"/>
    <w:bookmarkStart w:id="23" w:name="X74613e92323f50065fb2b2c76dc419576dfd02f"/>
    <w:p>
      <w:pPr>
        <w:pStyle w:val="Heading2"/>
      </w:pPr>
      <w:r>
        <w:t xml:space="preserve">Quantitative Performance: The Academic Researcher Sales Impact</w:t>
      </w:r>
    </w:p>
    <w:p>
      <w:pPr>
        <w:pStyle w:val="FirstParagraph"/>
      </w:pPr>
      <w:r>
        <w:t xml:space="preserve">The results speak unequivocally to the Academic Researcher's sales impact. In 2023, projects led by academic co-sellers generated $87.4M in revenue—representing 58% of our total Singapore market revenue. Breakdowns reveal:</w:t>
      </w:r>
    </w:p>
    <w:p>
      <w:pPr>
        <w:numPr>
          <w:ilvl w:val="0"/>
          <w:numId w:val="1002"/>
        </w:numPr>
        <w:pStyle w:val="Compact"/>
      </w:pPr>
      <w:r>
        <w:rPr>
          <w:bCs/>
          <w:b/>
        </w:rPr>
        <w:t xml:space="preserve">Biomedical Sector</w:t>
      </w:r>
      <w:r>
        <w:t xml:space="preserve">: Academic researcher-led sales drove 72% of new contracts (vs. industry average 39%) through peer validation during clinical trial phases.</w:t>
      </w:r>
    </w:p>
    <w:p>
      <w:pPr>
        <w:numPr>
          <w:ilvl w:val="0"/>
          <w:numId w:val="1002"/>
        </w:numPr>
        <w:pStyle w:val="Compact"/>
      </w:pPr>
      <w:r>
        <w:rPr>
          <w:bCs/>
          <w:b/>
        </w:rPr>
        <w:t xml:space="preserve">Sustainability Solutions</w:t>
      </w:r>
      <w:r>
        <w:t xml:space="preserve">: Singapore’s Green Plan 2030 initiatives saw researcher-coordinated deals close at 35% lower cost due to pre-validated technical feasibility.</w:t>
      </w:r>
    </w:p>
    <w:p>
      <w:pPr>
        <w:numPr>
          <w:ilvl w:val="0"/>
          <w:numId w:val="1002"/>
        </w:numPr>
        <w:pStyle w:val="Compact"/>
      </w:pPr>
      <w:r>
        <w:rPr>
          <w:bCs/>
          <w:b/>
        </w:rPr>
        <w:t xml:space="preserve">Government Contracts</w:t>
      </w:r>
      <w:r>
        <w:t xml:space="preserve">: 92% of our new Enterprise Singapore partnerships originated from Academic Researcher referrals, leveraging their credibility in national R&amp;D programs.</w:t>
      </w:r>
    </w:p>
    <w:p>
      <w:pPr>
        <w:pStyle w:val="FirstParagraph"/>
      </w:pPr>
      <w:r>
        <w:t xml:space="preserve">Most significantly, the cost-per-acquisition (CPA) for researcher-led deals is 63% lower than sales-only approaches. In Singapore Singapore’s competitive landscape where client acquisition costs have risen 22% annually, this efficiency represents a strategic advantage that directly impacts profitability.</w:t>
      </w:r>
    </w:p>
    <w:bookmarkEnd w:id="23"/>
    <w:bookmarkStart w:id="24" w:name="challenges-and-adaptive-solutions"/>
    <w:p>
      <w:pPr>
        <w:pStyle w:val="Heading2"/>
      </w:pPr>
      <w:r>
        <w:t xml:space="preserve">Challenges and Adaptive Solutions</w:t>
      </w:r>
    </w:p>
    <w:p>
      <w:pPr>
        <w:pStyle w:val="FirstParagraph"/>
      </w:pPr>
      <w:r>
        <w:t xml:space="preserve">Despite strong results, we identified three critical challenges in the Academic Researcher sales model within Singapore Singapore:</w:t>
      </w:r>
    </w:p>
    <w:p>
      <w:pPr>
        <w:numPr>
          <w:ilvl w:val="0"/>
          <w:numId w:val="1003"/>
        </w:numPr>
        <w:pStyle w:val="Compact"/>
      </w:pPr>
      <w:r>
        <w:rPr>
          <w:iCs/>
          <w:i/>
        </w:rPr>
        <w:t xml:space="preserve">Time Constraints</w:t>
      </w:r>
      <w:r>
        <w:t xml:space="preserve">: Researchers’ teaching duties limit sales engagement.</w:t>
      </w:r>
      <w:r>
        <w:t xml:space="preserve"> </w:t>
      </w:r>
      <w:r>
        <w:rPr>
          <w:bCs/>
          <w:b/>
        </w:rPr>
        <w:t xml:space="preserve">Solution</w:t>
      </w:r>
      <w:r>
        <w:t xml:space="preserve">: We implemented "Researcher Sales Ambassador" roles with flexible 5-hour/week commitments, supported by our AI-driven CRM that auto-generates client communication templates.</w:t>
      </w:r>
    </w:p>
    <w:p>
      <w:pPr>
        <w:numPr>
          <w:ilvl w:val="0"/>
          <w:numId w:val="1003"/>
        </w:numPr>
        <w:pStyle w:val="Compact"/>
      </w:pPr>
      <w:r>
        <w:rPr>
          <w:iCs/>
          <w:i/>
        </w:rPr>
        <w:t xml:space="preserve">Commercialization Misalignment</w:t>
      </w:r>
      <w:r>
        <w:t xml:space="preserve">: Academic goals often diverge from market needs.</w:t>
      </w:r>
      <w:r>
        <w:t xml:space="preserve"> </w:t>
      </w:r>
      <w:r>
        <w:rPr>
          <w:bCs/>
          <w:b/>
        </w:rPr>
        <w:t xml:space="preserve">Solution</w:t>
      </w:r>
      <w:r>
        <w:t xml:space="preserve">: Co-created research roadmaps with industry partners (e.g., ST Engineering joint R&amp;D program), ensuring projects address Singapore's priority sectors like Smart Nation and Digital Health.</w:t>
      </w:r>
    </w:p>
    <w:p>
      <w:pPr>
        <w:numPr>
          <w:ilvl w:val="0"/>
          <w:numId w:val="1003"/>
        </w:numPr>
        <w:pStyle w:val="Compact"/>
      </w:pPr>
      <w:r>
        <w:rPr>
          <w:iCs/>
          <w:i/>
        </w:rPr>
        <w:t xml:space="preserve">Intellectual Property Uncertainty</w:t>
      </w:r>
      <w:r>
        <w:t xml:space="preserve">: Concerns over IP ownership stalled 38% of early-stage discussions.</w:t>
      </w:r>
      <w:r>
        <w:t xml:space="preserve"> </w:t>
      </w:r>
      <w:r>
        <w:rPr>
          <w:bCs/>
          <w:b/>
        </w:rPr>
        <w:t xml:space="preserve">Solution</w:t>
      </w:r>
      <w:r>
        <w:t xml:space="preserve">: Developed Singapore-specific IP licensing frameworks approved by the National University of Singapore’s Technology Transfer Office, eliminating 70% of contractual delays.</w:t>
      </w:r>
    </w:p>
    <w:bookmarkEnd w:id="24"/>
    <w:bookmarkStart w:id="25" w:name="X4b2e9e8a9c91bc0cbaa07f4fb28faada358a615"/>
    <w:p>
      <w:pPr>
        <w:pStyle w:val="Heading2"/>
      </w:pPr>
      <w:r>
        <w:t xml:space="preserve">Future Outlook: Scaling the Academic Researcher Advantage in Singapore</w:t>
      </w:r>
    </w:p>
    <w:p>
      <w:pPr>
        <w:pStyle w:val="FirstParagraph"/>
      </w:pPr>
      <w:r>
        <w:t xml:space="preserve">Looking ahead to 2025, we project a 41% revenue uplift from Academic Researcher-driven sales through three initiatives:</w:t>
      </w:r>
    </w:p>
    <w:p>
      <w:pPr>
        <w:numPr>
          <w:ilvl w:val="0"/>
          <w:numId w:val="1004"/>
        </w:numPr>
        <w:pStyle w:val="Compact"/>
      </w:pPr>
      <w:r>
        <w:rPr>
          <w:bCs/>
          <w:b/>
        </w:rPr>
        <w:t xml:space="preserve">Singapore Researcher Network Expansion</w:t>
      </w:r>
      <w:r>
        <w:t xml:space="preserve">: Targeting 300+ academic researchers across NUS, NTU, and SUTD to form an exclusive sales consortium with tiered benefits based on engagement volume.</w:t>
      </w:r>
    </w:p>
    <w:p>
      <w:pPr>
        <w:numPr>
          <w:ilvl w:val="0"/>
          <w:numId w:val="1004"/>
        </w:numPr>
        <w:pStyle w:val="Compact"/>
      </w:pPr>
      <w:r>
        <w:rPr>
          <w:bCs/>
          <w:b/>
        </w:rPr>
        <w:t xml:space="preserve">Regulatory Intelligence Platform</w:t>
      </w:r>
      <w:r>
        <w:t xml:space="preserve">: Launching a Singapore-focused compliance dashboard integrating MOH, IMDA, and Enterprise Singapore requirements—reducing client onboarding by 50%.</w:t>
      </w:r>
    </w:p>
    <w:p>
      <w:pPr>
        <w:numPr>
          <w:ilvl w:val="0"/>
          <w:numId w:val="1004"/>
        </w:numPr>
        <w:pStyle w:val="Compact"/>
      </w:pPr>
      <w:r>
        <w:rPr>
          <w:bCs/>
          <w:b/>
        </w:rPr>
        <w:t xml:space="preserve">Singapore Innovation Grants Co-Creation</w:t>
      </w:r>
      <w:r>
        <w:t xml:space="preserve">: Partnering with the National Research Foundation to design grant proposals where sales teams and researchers jointly secure government funding for commercialization.</w:t>
      </w:r>
    </w:p>
    <w:p>
      <w:pPr>
        <w:pStyle w:val="FirstParagraph"/>
      </w:pPr>
      <w:r>
        <w:t xml:space="preserve">Crucially, this approach aligns with Singapore Singapore’s National Research, Technology and Innovation Strategy 2025 (NRTIS), which mandates industry-academia co-creation for all major R&amp;D investments. By embedding Academic Researchers into our sales fabric—not as peripheral advisors but as core revenue drivers—we are not merely selling products; we are enabling Singapore’s research ecosystem to become its most potent commercial engine.</w:t>
      </w:r>
    </w:p>
    <w:bookmarkEnd w:id="25"/>
    <w:bookmarkStart w:id="26" w:name="conclusion"/>
    <w:p>
      <w:pPr>
        <w:pStyle w:val="Heading2"/>
      </w:pPr>
      <w:r>
        <w:t xml:space="preserve">Conclusion</w:t>
      </w:r>
    </w:p>
    <w:p>
      <w:pPr>
        <w:pStyle w:val="FirstParagraph"/>
      </w:pPr>
      <w:r>
        <w:t xml:space="preserve">This Sales Report underscores that in Singapore Singapore, the Academic Researcher is no longer a passive contributor to innovation but an active sales architect whose expertise directly generates revenue. The data confirms that businesses investing in researcher integration achieve superior market penetration, cost efficiency, and strategic alignment with Singapore’s national innovation priorities. As the nation accelerates toward becoming a $100B knowledge economy by 2035, this model offers a replicable blueprint for global enterprises seeking to harness academic excellence as their most valuable sales asset. Our commitment remains unwavering: to make every Academic Researcher in Singapore Singapore an empowered catalyst for growth.</w:t>
      </w:r>
    </w:p>
    <w:p>
      <w:pPr>
        <w:pStyle w:val="BodyText"/>
      </w:pPr>
      <w:r>
        <w:rPr>
          <w:bCs/>
          <w:b/>
        </w:rPr>
        <w:t xml:space="preserve">Prepared For:</w:t>
      </w:r>
      <w:r>
        <w:t xml:space="preserve"> </w:t>
      </w:r>
      <w:r>
        <w:t xml:space="preserve">Board of Directors &amp; National Innovation Strategy Committee, Singapore</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Performance in Singapore Singapore</dc:title>
  <dc:creator/>
  <dc:language>en</dc:language>
  <cp:keywords/>
  <dcterms:created xsi:type="dcterms:W3CDTF">2025-12-12T02:54:52Z</dcterms:created>
  <dcterms:modified xsi:type="dcterms:W3CDTF">2025-12-12T02:54:52Z</dcterms:modified>
</cp:coreProperties>
</file>

<file path=docProps/custom.xml><?xml version="1.0" encoding="utf-8"?>
<Properties xmlns="http://schemas.openxmlformats.org/officeDocument/2006/custom-properties" xmlns:vt="http://schemas.openxmlformats.org/officeDocument/2006/docPropsVTypes"/>
</file>