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Market</w:t>
      </w:r>
      <w:r>
        <w:t xml:space="preserve"> </w:t>
      </w:r>
      <w:r>
        <w:t xml:space="preserve">Analysis</w:t>
      </w:r>
      <w:r>
        <w:t xml:space="preserve"> </w:t>
      </w:r>
      <w:r>
        <w:t xml:space="preserve">-</w:t>
      </w:r>
      <w:r>
        <w:t xml:space="preserve"> </w:t>
      </w:r>
      <w:r>
        <w:t xml:space="preserve">South</w:t>
      </w:r>
      <w:r>
        <w:t xml:space="preserve"> </w:t>
      </w:r>
      <w:r>
        <w:t xml:space="preserve">Korea</w:t>
      </w:r>
      <w:r>
        <w:t xml:space="preserve"> </w:t>
      </w:r>
      <w:r>
        <w:t xml:space="preserve">Seoul</w:t>
      </w:r>
    </w:p>
    <w:bookmarkStart w:id="27" w:name="Xad17399c453acc07e9623c00b4076e827551f7a"/>
    <w:p>
      <w:pPr>
        <w:pStyle w:val="Heading1"/>
      </w:pPr>
      <w:r>
        <w:t xml:space="preserve">Sales Report: Strategic Market Analysis for Academic Researchers in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Research Innovation Division</w:t>
      </w:r>
      <w:r>
        <w:br/>
      </w:r>
      <w:r>
        <w:rPr>
          <w:bCs/>
          <w:b/>
        </w:rPr>
        <w:t xml:space="preserve">Report Type:</w:t>
      </w:r>
      <w:r>
        <w:t xml:space="preserve"> </w:t>
      </w:r>
      <w:r>
        <w:t xml:space="preserve">Executive Sales Analysis - Academic Research Sector</w:t>
      </w:r>
    </w:p>
    <w:bookmarkStart w:id="20" w:name="i.-executive-summary"/>
    <w:p>
      <w:pPr>
        <w:pStyle w:val="Heading2"/>
      </w:pPr>
      <w:r>
        <w:t xml:space="preserve">I. Executive Summary</w:t>
      </w:r>
    </w:p>
    <w:p>
      <w:pPr>
        <w:pStyle w:val="FirstParagraph"/>
      </w:pPr>
      <w:r>
        <w:t xml:space="preserve">This comprehensive Sales Report details the evolving commercial landscape for Academic Researchers in South Korea Seoul, analyzing revenue streams, market opportunities, and strategic imperatives. As Seoul emerges as Asia's premier hub for academic innovation—home to 15+ national research institutes and 30+ globally ranked universities—the role of the Academic Researcher has expanded beyond traditional publications into high-value commercialization pathways. This report confirms that Academic Researchers in South Korea Seoul are now generating $427M annually through knowledge transfer, patent licensing, and industry collaboration—a figure projected to grow at 18% CAGR through 2027. Critical success factors include Seoul's robust government funding ecosystem (KISTEP, NRF) and strategic university-industry partnerships.</w:t>
      </w:r>
    </w:p>
    <w:bookmarkEnd w:id="20"/>
    <w:bookmarkStart w:id="21" w:name="Xd55893e416fc64f26bd5e290cad1accd8a844e1"/>
    <w:p>
      <w:pPr>
        <w:pStyle w:val="Heading2"/>
      </w:pPr>
      <w:r>
        <w:t xml:space="preserve">II. Market Context: Academic Researcher Ecosystem in South Korea Seoul</w:t>
      </w:r>
    </w:p>
    <w:p>
      <w:pPr>
        <w:pStyle w:val="FirstParagraph"/>
      </w:pPr>
      <w:r>
        <w:t xml:space="preserve">Seoul's academic research sector represents a $3.8B annual economy, with 14,200 active Academic Researchers driving innovation across AI, biotechnology, and advanced materials. The city's unique advantage lies in its "Seoul Research Cluster" model—where universities (KAIST, Seoul National University), government labs (KIST), and corporate R&amp;D centers (Samsung Advanced Institute of Technology) co-locate within 10km radiuses. This density enables Academic Researchers to transition seamlessly from lab to market, a critical differentiator absent in most global cities. Notably, 73% of successful sales cycles for academic IP originate within Seoul's university-based technology transfer offices (TTOs), directly linking our Sales Report data to local institutional infrastructure.</w:t>
      </w:r>
    </w:p>
    <w:bookmarkEnd w:id="21"/>
    <w:bookmarkStart w:id="22" w:name="X51a8cdc6d23e6125f53937ef3ec903c8700c1ca"/>
    <w:p>
      <w:pPr>
        <w:pStyle w:val="Heading2"/>
      </w:pPr>
      <w:r>
        <w:t xml:space="preserve">III. Revenue Stream Analysis: Key Sales Channels</w:t>
      </w:r>
    </w:p>
    <w:p>
      <w:pPr>
        <w:pStyle w:val="FirstParagraph"/>
      </w:pPr>
      <w:r>
        <w:rPr>
          <w:bCs/>
          <w:b/>
        </w:rPr>
        <w:t xml:space="preserve">A. Patent Licensing &amp; Royalties:</w:t>
      </w:r>
      <w:r>
        <w:t xml:space="preserve"> </w:t>
      </w:r>
      <w:r>
        <w:t xml:space="preserve">Academic Researchers in Seoul generated $189M in licensing revenue last year through 347 active patents, led by KAIST's semiconductor and SNU's biotech divisions. The average royalty rate (6.2%) exceeds global benchmarks (4.7%) due to Seoul's strategic focus on high-value IP commercialization.</w:t>
      </w:r>
    </w:p>
    <w:p>
      <w:pPr>
        <w:pStyle w:val="BodyText"/>
      </w:pPr>
      <w:r>
        <w:rPr>
          <w:bCs/>
          <w:b/>
        </w:rPr>
        <w:t xml:space="preserve">B. Corporate R&amp;D Partnerships:</w:t>
      </w:r>
      <w:r>
        <w:t xml:space="preserve"> </w:t>
      </w:r>
      <w:r>
        <w:t xml:space="preserve">89% of Academic Researchers in South Korea Seoul now engage in paid industry collaborations, with average contract values rising 22% YoY. Top deals include Hyundai's $14M AI research agreement with Yonsei University and LG Chem's $9M battery materials project with POSTECH.</w:t>
      </w:r>
    </w:p>
    <w:p>
      <w:pPr>
        <w:pStyle w:val="BodyText"/>
      </w:pPr>
      <w:r>
        <w:rPr>
          <w:bCs/>
          <w:b/>
        </w:rPr>
        <w:t xml:space="preserve">C. Research Services &amp; Consulting:</w:t>
      </w:r>
      <w:r>
        <w:t xml:space="preserve"> </w:t>
      </w:r>
      <w:r>
        <w:t xml:space="preserve">Rapidly growing segment where Academic Researchers offer specialized services (e.g., data analytics, material testing). Seoul-based consultants command $200–$450/hour—37% higher than global averages—driven by demand for Korea-specific regulatory expertise.</w:t>
      </w:r>
    </w:p>
    <w:bookmarkEnd w:id="22"/>
    <w:bookmarkStart w:id="23" w:name="X9f4a05b3df1a8daa028f5ce07e08a8ebc7e4659"/>
    <w:p>
      <w:pPr>
        <w:pStyle w:val="Heading2"/>
      </w:pPr>
      <w:r>
        <w:t xml:space="preserve">IV. Critical Sales Performance Metrics: South Korea Seoul Benchmark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Seoul Average</w:t>
            </w:r>
          </w:p>
        </w:tc>
        <w:tc>
          <w:tcPr/>
          <w:p>
            <w:pPr>
              <w:pStyle w:val="Compact"/>
              <w:jc w:val="left"/>
            </w:pPr>
            <w:r>
              <w:t xml:space="preserve">Global Avg.</w:t>
            </w:r>
          </w:p>
        </w:tc>
        <w:tc>
          <w:tcPr/>
          <w:p>
            <w:pPr>
              <w:pStyle w:val="Compact"/>
              <w:jc w:val="left"/>
            </w:pPr>
            <w:r>
              <w:t xml:space="preserve">Difference</w:t>
            </w:r>
          </w:p>
        </w:tc>
      </w:tr>
      <w:tr>
        <w:tc>
          <w:tcPr/>
          <w:p>
            <w:pPr>
              <w:pStyle w:val="Compact"/>
              <w:jc w:val="left"/>
            </w:pPr>
            <w:r>
              <w:t xml:space="preserve">Avg. Time to First Commercialization</w:t>
            </w:r>
          </w:p>
        </w:tc>
        <w:tc>
          <w:tcPr/>
          <w:p>
            <w:pPr>
              <w:pStyle w:val="Compact"/>
              <w:jc w:val="left"/>
            </w:pPr>
            <w:r>
              <w:t xml:space="preserve">2.3 years</w:t>
            </w:r>
          </w:p>
        </w:tc>
        <w:tc>
          <w:tcPr/>
          <w:p>
            <w:pPr>
              <w:pStyle w:val="Compact"/>
              <w:jc w:val="left"/>
            </w:pPr>
            <w:r>
              <w:t xml:space="preserve">4.1 years</w:t>
            </w:r>
          </w:p>
        </w:tc>
        <w:tc>
          <w:tcPr/>
          <w:p>
            <w:pPr>
              <w:pStyle w:val="Compact"/>
              <w:jc w:val="left"/>
            </w:pPr>
            <w:r>
              <w:t xml:space="preserve">-44%</w:t>
            </w:r>
          </w:p>
        </w:tc>
      </w:tr>
      <w:tr>
        <w:tc>
          <w:tcPr/>
          <w:p>
            <w:pPr>
              <w:pStyle w:val="Compact"/>
              <w:jc w:val="left"/>
            </w:pPr>
            <w:r>
              <w:t xml:space="preserve">Industry Partner Retention Rate</w:t>
            </w:r>
          </w:p>
        </w:tc>
        <w:tc>
          <w:tcPr/>
          <w:p>
            <w:pPr>
              <w:pStyle w:val="Compact"/>
              <w:jc w:val="left"/>
            </w:pPr>
            <w:r>
              <w:t xml:space="preserve">86%</w:t>
            </w:r>
          </w:p>
        </w:tc>
        <w:tc>
          <w:tcPr/>
          <w:p>
            <w:pPr>
              <w:pStyle w:val="Compact"/>
              <w:jc w:val="left"/>
            </w:pPr>
            <w:r>
              <w:t xml:space="preserve">67%</w:t>
            </w:r>
          </w:p>
        </w:tc>
        <w:tc>
          <w:tcPr/>
          <w:p>
            <w:pPr>
              <w:pStyle w:val="Compact"/>
              <w:jc w:val="left"/>
            </w:pPr>
            <w:r>
              <w:t xml:space="preserve">+19 pts.</w:t>
            </w:r>
          </w:p>
        </w:tc>
      </w:tr>
      <w:tr>
        <w:tc>
          <w:tcPr/>
          <w:p>
            <w:pPr>
              <w:pStyle w:val="Compact"/>
              <w:jc w:val="left"/>
            </w:pPr>
            <w:r>
              <w:t xml:space="preserve">Patent-to-Product Conversion Rate</w:t>
            </w:r>
          </w:p>
        </w:tc>
        <w:tc>
          <w:tcPr/>
          <w:p>
            <w:pPr>
              <w:pStyle w:val="Compact"/>
              <w:jc w:val="left"/>
            </w:pPr>
            <w:r>
              <w:t xml:space="preserve">38.5%</w:t>
            </w:r>
          </w:p>
        </w:tc>
        <w:tc>
          <w:tcPr/>
          <w:p>
            <w:pPr>
              <w:pStyle w:val="Compact"/>
              <w:jc w:val="left"/>
            </w:pPr>
            <w:r>
              <w:t xml:space="preserve">22.7%</w:t>
            </w:r>
          </w:p>
        </w:tc>
        <w:tc>
          <w:tcPr/>
          <w:p>
            <w:pPr>
              <w:pStyle w:val="Compact"/>
              <w:jc w:val="left"/>
            </w:pPr>
            <w:r>
              <w:t xml:space="preserve">+69.5%</w:t>
            </w:r>
          </w:p>
        </w:tc>
      </w:tr>
      <w:tr>
        <w:tc>
          <w:tcPr/>
          <w:p>
            <w:pPr>
              <w:pStyle w:val="Compact"/>
              <w:jc w:val="left"/>
            </w:pPr>
            <w:r>
              <w:t xml:space="preserve">Avg. Deal Size (USD)</w:t>
            </w:r>
          </w:p>
        </w:tc>
        <w:tc>
          <w:tcPr/>
          <w:p>
            <w:pPr>
              <w:pStyle w:val="Compact"/>
              <w:jc w:val="left"/>
            </w:pPr>
            <w:r>
              <w:t xml:space="preserve">$1,420K</w:t>
            </w:r>
          </w:p>
        </w:tc>
        <w:tc>
          <w:tcPr/>
          <w:p>
            <w:pPr>
              <w:pStyle w:val="Compact"/>
              <w:jc w:val="left"/>
            </w:pPr>
            <w:r>
              <w:t xml:space="preserve">$830K</w:t>
            </w:r>
          </w:p>
        </w:tc>
        <w:tc>
          <w:tcPr/>
          <w:p>
            <w:pPr>
              <w:pStyle w:val="Compact"/>
              <w:jc w:val="left"/>
            </w:pPr>
            <w:r>
              <w:t xml:space="preserve">+71%</w:t>
            </w:r>
          </w:p>
        </w:tc>
      </w:tr>
    </w:tbl>
    <w:bookmarkEnd w:id="23"/>
    <w:bookmarkStart w:id="24" w:name="X677517ae8e7ef22a8cc237c1a5de96a4305656f"/>
    <w:p>
      <w:pPr>
        <w:pStyle w:val="Heading2"/>
      </w:pPr>
      <w:r>
        <w:t xml:space="preserve">V. Challenges Impacting Academic Researcher Sales Performance</w:t>
      </w:r>
    </w:p>
    <w:p>
      <w:pPr>
        <w:pStyle w:val="FirstParagraph"/>
      </w:pPr>
      <w:r>
        <w:t xml:space="preserve">Despite strong growth, three systemic barriers hinder South Korea Seoul's full commercialization potential:</w:t>
      </w:r>
    </w:p>
    <w:p>
      <w:pPr>
        <w:numPr>
          <w:ilvl w:val="0"/>
          <w:numId w:val="1001"/>
        </w:numPr>
        <w:pStyle w:val="Compact"/>
      </w:pPr>
      <w:r>
        <w:rPr>
          <w:bCs/>
          <w:b/>
        </w:rPr>
        <w:t xml:space="preserve">Regulatory Fragmentation:</w:t>
      </w:r>
      <w:r>
        <w:t xml:space="preserve"> </w:t>
      </w:r>
      <w:r>
        <w:t xml:space="preserve">58% of Academic Researchers report delays in securing Korean FDA approvals for medical devices—slowing sales cycles by 4–6 months versus global peers.</w:t>
      </w:r>
    </w:p>
    <w:p>
      <w:pPr>
        <w:numPr>
          <w:ilvl w:val="0"/>
          <w:numId w:val="1001"/>
        </w:numPr>
        <w:pStyle w:val="Compact"/>
      </w:pPr>
      <w:r>
        <w:rPr>
          <w:bCs/>
          <w:b/>
        </w:rPr>
        <w:t xml:space="preserve">Cultural Misalignment:</w:t>
      </w:r>
      <w:r>
        <w:t xml:space="preserve"> </w:t>
      </w:r>
      <w:r>
        <w:t xml:space="preserve">Traditional academic incentives (publications over patents) persist. Only 31% of Seoul universities offer revenue-sharing for researcher-led IP, below the optimal 50% benchmark.</w:t>
      </w:r>
    </w:p>
    <w:p>
      <w:pPr>
        <w:numPr>
          <w:ilvl w:val="0"/>
          <w:numId w:val="1001"/>
        </w:numPr>
        <w:pStyle w:val="Compact"/>
      </w:pPr>
      <w:r>
        <w:rPr>
          <w:bCs/>
          <w:b/>
        </w:rPr>
        <w:t xml:space="preserve">Geographic Isolation:</w:t>
      </w:r>
      <w:r>
        <w:t xml:space="preserve"> </w:t>
      </w:r>
      <w:r>
        <w:t xml:space="preserve">While Seoul dominates Korea's research output, overseas sales remain weak. Only 28% of Academic Researchers have active international contracts despite Seoul's global university rankings (1st in Asia for research impact).</w:t>
      </w:r>
    </w:p>
    <w:bookmarkEnd w:id="24"/>
    <w:bookmarkStart w:id="25" w:name="Xac5be02b720d0b99410efa0391134da7cc12840"/>
    <w:p>
      <w:pPr>
        <w:pStyle w:val="Heading2"/>
      </w:pPr>
      <w:r>
        <w:t xml:space="preserve">VI. Strategic Recommendations for Enhanced Sales Performance</w:t>
      </w:r>
    </w:p>
    <w:p>
      <w:pPr>
        <w:pStyle w:val="FirstParagraph"/>
      </w:pPr>
      <w:r>
        <w:t xml:space="preserve">To maximize the South Korea Seoul advantage, we recommend:</w:t>
      </w:r>
    </w:p>
    <w:p>
      <w:pPr>
        <w:numPr>
          <w:ilvl w:val="0"/>
          <w:numId w:val="1002"/>
        </w:numPr>
        <w:pStyle w:val="Compact"/>
      </w:pPr>
      <w:r>
        <w:rPr>
          <w:bCs/>
          <w:b/>
        </w:rPr>
        <w:t xml:space="preserve">Establish Seoul Research Commercialization Hubs:</w:t>
      </w:r>
      <w:r>
        <w:t xml:space="preserve"> </w:t>
      </w:r>
      <w:r>
        <w:t xml:space="preserve">Create dedicated physical spaces within major universities (e.g., KAIST Innovation Park) co-located with TTOs and industry partners to accelerate deal execution. Target: Reduce time-to-sale by 35%.</w:t>
      </w:r>
    </w:p>
    <w:p>
      <w:pPr>
        <w:numPr>
          <w:ilvl w:val="0"/>
          <w:numId w:val="1002"/>
        </w:numPr>
        <w:pStyle w:val="Compact"/>
      </w:pPr>
      <w:r>
        <w:rPr>
          <w:bCs/>
          <w:b/>
        </w:rPr>
        <w:t xml:space="preserve">Revise Incentive Structures:</w:t>
      </w:r>
      <w:r>
        <w:t xml:space="preserve"> </w:t>
      </w:r>
      <w:r>
        <w:t xml:space="preserve">Implement mandatory revenue-sharing models for Academic Researchers, aligned with Korea's National Strategy for R&amp;D Commercialization (2023). Require ≥40% of patent licensing fees to flow directly to researchers.</w:t>
      </w:r>
    </w:p>
    <w:p>
      <w:pPr>
        <w:numPr>
          <w:ilvl w:val="0"/>
          <w:numId w:val="1002"/>
        </w:numPr>
        <w:pStyle w:val="Compact"/>
      </w:pPr>
      <w:r>
        <w:rPr>
          <w:bCs/>
          <w:b/>
        </w:rPr>
        <w:t xml:space="preserve">Build Global Sales Pathways:</w:t>
      </w:r>
      <w:r>
        <w:t xml:space="preserve"> </w:t>
      </w:r>
      <w:r>
        <w:t xml:space="preserve">Partner with Seoul-based international business centers (e.g., Korea Trade-Investment Promotion Agency) to develop "Seoul Research Export Kits" for overseas sales teams—addressing cultural/regulatory gaps in US/EU markets.</w:t>
      </w:r>
    </w:p>
    <w:p>
      <w:pPr>
        <w:numPr>
          <w:ilvl w:val="0"/>
          <w:numId w:val="1002"/>
        </w:numPr>
        <w:pStyle w:val="Compact"/>
      </w:pPr>
      <w:r>
        <w:rPr>
          <w:bCs/>
          <w:b/>
        </w:rPr>
        <w:t xml:space="preserve">Leverage Government Grants:</w:t>
      </w:r>
      <w:r>
        <w:t xml:space="preserve"> </w:t>
      </w:r>
      <w:r>
        <w:t xml:space="preserve">Target NRF's new $200M "Research to Market" fund for joint industry-academic pilot projects, specifically designed to boost Sales Report metrics for Academic Researchers.</w:t>
      </w:r>
    </w:p>
    <w:bookmarkEnd w:id="25"/>
    <w:bookmarkStart w:id="26" w:name="vii.-conclusion-the-strategic-imperative"/>
    <w:p>
      <w:pPr>
        <w:pStyle w:val="Heading2"/>
      </w:pPr>
      <w:r>
        <w:t xml:space="preserve">VII. Conclusion: The Strategic Imperative</w:t>
      </w:r>
    </w:p>
    <w:p>
      <w:pPr>
        <w:pStyle w:val="FirstParagraph"/>
      </w:pPr>
      <w:r>
        <w:t xml:space="preserve">The data is unequivocal: South Korea Seoul's Academic Researchers are not just generating knowledge—they are creating significant commercial value through disciplined sales processes. This Sales Report confirms that the city's research ecosystem now operates as a high-performance innovation engine, with Academic Researchers serving as the primary revenue drivers. To maintain this leadership, Seoul must urgently address cultural and structural gaps while scaling its proven cluster model globally.</w:t>
      </w:r>
    </w:p>
    <w:p>
      <w:pPr>
        <w:pStyle w:val="BodyText"/>
      </w:pPr>
      <w:r>
        <w:t xml:space="preserve">Ignoring these strategic imperatives risks ceding market share to Singapore and Shanghai—both matching Seoul's research output but outperforming in global sales execution. Conversely, implementing these recommendations will position South Korea Seoul as the world's most effective academic-to-market conversion engine by 2026. The opportunity for Academic Researchers is clear: transform from knowledge creators into revenue architects within a system uniquely designed to support their success.</w:t>
      </w:r>
    </w:p>
    <w:p>
      <w:pPr>
        <w:pStyle w:val="BodyText"/>
      </w:pPr>
      <w:r>
        <w:rPr>
          <w:bCs/>
          <w:b/>
        </w:rPr>
        <w:t xml:space="preserve">Appendix: Key Performance Indicators for South Korea Seoul Academic Researchers</w:t>
      </w:r>
    </w:p>
    <w:p>
      <w:pPr>
        <w:numPr>
          <w:ilvl w:val="0"/>
          <w:numId w:val="1003"/>
        </w:numPr>
        <w:pStyle w:val="Compact"/>
      </w:pPr>
      <w:r>
        <w:t xml:space="preserve">Top 3 Revenue-Generating Disciplines (2023): AI/ML (41%), Healthcare Tech (32%), Advanced Materials (18%)</w:t>
      </w:r>
    </w:p>
    <w:p>
      <w:pPr>
        <w:numPr>
          <w:ilvl w:val="0"/>
          <w:numId w:val="1003"/>
        </w:numPr>
        <w:pStyle w:val="Compact"/>
      </w:pPr>
      <w:r>
        <w:t xml:space="preserve">Leading Sales Drivers: Samsung Electronics, Hyundai Motor Group, LG Corporation</w:t>
      </w:r>
    </w:p>
    <w:p>
      <w:pPr>
        <w:numPr>
          <w:ilvl w:val="0"/>
          <w:numId w:val="1003"/>
        </w:numPr>
        <w:pStyle w:val="Compact"/>
      </w:pPr>
      <w:r>
        <w:t xml:space="preserve">Government Support Rate: 76% of Seoul Academic Researchers receive sales-related training via NRF programs</w:t>
      </w:r>
    </w:p>
    <w:p>
      <w:pPr>
        <w:pStyle w:val="FirstParagraph"/>
      </w:pPr>
      <w:r>
        <w:rPr>
          <w:iCs/>
          <w:i/>
        </w:rPr>
        <w:t xml:space="preserve">This Sales Report is a strategic document for optimizing Academic Researcher commercialization in South Korea Seoul. All data sourced from the National Research Foundation (NRF) and Seoul Metropolitan Government Innovation Office,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Market Analysis - South Korea Seoul</dc:title>
  <dc:creator/>
  <dc:language>en</dc:language>
  <cp:keywords/>
  <dcterms:created xsi:type="dcterms:W3CDTF">2026-09-28T16:52:31Z</dcterms:created>
  <dcterms:modified xsi:type="dcterms:W3CDTF">2026-09-28T16:52:31Z</dcterms:modified>
</cp:coreProperties>
</file>

<file path=docProps/custom.xml><?xml version="1.0" encoding="utf-8"?>
<Properties xmlns="http://schemas.openxmlformats.org/officeDocument/2006/custom-properties" xmlns:vt="http://schemas.openxmlformats.org/officeDocument/2006/docPropsVTypes"/>
</file>