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Academic</w:t>
      </w:r>
      <w:r>
        <w:t xml:space="preserve"> </w:t>
      </w:r>
      <w:r>
        <w:t xml:space="preserve">Researcher</w:t>
      </w:r>
      <w:r>
        <w:t xml:space="preserve"> </w:t>
      </w:r>
      <w:r>
        <w:t xml:space="preserve">Sales</w:t>
      </w:r>
      <w:r>
        <w:t xml:space="preserve"> </w:t>
      </w:r>
      <w:r>
        <w:t xml:space="preserve">Performance</w:t>
      </w:r>
      <w:r>
        <w:t xml:space="preserve"> </w:t>
      </w:r>
      <w:r>
        <w:t xml:space="preserve">Report:</w:t>
      </w:r>
      <w:r>
        <w:t xml:space="preserve"> </w:t>
      </w:r>
      <w:r>
        <w:t xml:space="preserve">Spain</w:t>
      </w:r>
      <w:r>
        <w:t xml:space="preserve"> </w:t>
      </w:r>
      <w:r>
        <w:t xml:space="preserve">Barcelona</w:t>
      </w:r>
    </w:p>
    <w:bookmarkStart w:id="33" w:name="X186391f174dff974f670a2b9d570d3293c99646"/>
    <w:p>
      <w:pPr>
        <w:pStyle w:val="Heading1"/>
      </w:pPr>
      <w:r>
        <w:t xml:space="preserve">Academic Researcher Sales Performance Report: Spain Barcelona Q3 2023</w:t>
      </w:r>
    </w:p>
    <w:bookmarkStart w:id="20" w:name="executive-summary"/>
    <w:p>
      <w:pPr>
        <w:pStyle w:val="Heading2"/>
      </w:pPr>
      <w:r>
        <w:t xml:space="preserve">Executive Summary</w:t>
      </w:r>
    </w:p>
    <w:p>
      <w:pPr>
        <w:pStyle w:val="FirstParagraph"/>
      </w:pPr>
      <w:r>
        <w:t xml:space="preserve">This comprehensive Sales Report details the performance of our Academic Researcher team operating within the vibrant research ecosystem of Spain Barcelona. The quarter demonstrated exceptional growth in research funding acquisition, strategic industry partnerships, and collaborative project execution – all critical metrics for academic success in today's competitive landscape. Our Barcelona-based Academic Researcher unit secured €1.87M in new funding commitments, representing a 32% year-over-year increase and exceeding targets by 19%. This achievement positions Spain Barcelona as a pivotal hub for Europe's research innovation economy, directly supporting the region's strategic goal to become the continent's top academic research destination.</w:t>
      </w:r>
    </w:p>
    <w:p>
      <w:pPr>
        <w:pStyle w:val="BodyText"/>
      </w:pPr>
      <w:r>
        <w:t xml:space="preserve">Key highlights include securing two major EU Horizon Europe grants, establishing partnerships with four multinational corporations (including Siemens Healthineers and Iberdrola), and publishing 17 high-impact papers in Q3 alone. These results underscore how effectively our Academic Researcher strategy aligns with Barcelona's economic priorities as the city aims to attract 25% more international research talent by 2025.</w:t>
      </w:r>
    </w:p>
    <w:bookmarkEnd w:id="20"/>
    <w:bookmarkStart w:id="21" w:name="X3a7be4718c09fe42e6382d057165cdbd372645b"/>
    <w:p>
      <w:pPr>
        <w:pStyle w:val="Heading2"/>
      </w:pPr>
      <w:r>
        <w:t xml:space="preserve">Market Analysis: Spain Barcelona's Research Ecosystem</w:t>
      </w:r>
    </w:p>
    <w:p>
      <w:pPr>
        <w:pStyle w:val="FirstParagraph"/>
      </w:pPr>
      <w:r>
        <w:t xml:space="preserve">Spain Barcelona presents a uniquely fertile environment for academic research commercialization. The city hosts 18 major research centers including the prestigious Centre for Genomic Regulation (CRG) and the Barcelona Supercomputing Center (BSC), creating a dense network of innovation infrastructure. This ecosystem directly supports our Academic Researcher's sales strategy through:</w:t>
      </w:r>
    </w:p>
    <w:p>
      <w:pPr>
        <w:numPr>
          <w:ilvl w:val="0"/>
          <w:numId w:val="1001"/>
        </w:numPr>
        <w:pStyle w:val="Compact"/>
      </w:pPr>
      <w:r>
        <w:t xml:space="preserve">Government incentives: Spain's 20% R&amp;D tax credit scheme, enhanced by Barcelona City Council's "Research &amp; Innovation Tax Break"</w:t>
      </w:r>
    </w:p>
    <w:p>
      <w:pPr>
        <w:numPr>
          <w:ilvl w:val="0"/>
          <w:numId w:val="1001"/>
        </w:numPr>
        <w:pStyle w:val="Compact"/>
      </w:pPr>
      <w:r>
        <w:t xml:space="preserve">Strategic location: Proximity to EU institutions in Brussels (2h by train) and major pharmaceutical/tech hubs in Catalonia</w:t>
      </w:r>
    </w:p>
    <w:p>
      <w:pPr>
        <w:numPr>
          <w:ilvl w:val="0"/>
          <w:numId w:val="1001"/>
        </w:numPr>
        <w:pStyle w:val="Compact"/>
      </w:pPr>
      <w:r>
        <w:t xml:space="preserve">University collaboration: Seamless integration with Universitat de Barcelona, Pompeu Fabra University, and the Autonomous University of Barcelona</w:t>
      </w:r>
    </w:p>
    <w:p>
      <w:pPr>
        <w:pStyle w:val="FirstParagraph"/>
      </w:pPr>
      <w:r>
        <w:t xml:space="preserve">Our Sales Report confirms that 78% of current funding targets are now met through Barcelona-specific initiatives. The city's "Barcelona Research Plan 2030" specifically prioritizes AI, sustainable energy, and biomedical research – sectors where our Academic Researcher portfolio has seen the highest conversion rates.</w:t>
      </w:r>
    </w:p>
    <w:bookmarkEnd w:id="21"/>
    <w:bookmarkStart w:id="24" w:name="X803ecf1e4325c0d26c8944d901bd3d7cf62d25b"/>
    <w:p>
      <w:pPr>
        <w:pStyle w:val="Heading2"/>
      </w:pPr>
      <w:r>
        <w:t xml:space="preserve">Key Performance Metrics: Sales Report Breakdown</w:t>
      </w:r>
    </w:p>
    <w:bookmarkStart w:id="22" w:name="funding-acquisition-q3-2023"/>
    <w:p>
      <w:pPr>
        <w:pStyle w:val="Heading3"/>
      </w:pPr>
      <w:r>
        <w:t xml:space="preserve">Funding Acquisition (Q3 2023)</w:t>
      </w:r>
    </w:p>
    <w:p>
      <w:pPr>
        <w:pStyle w:val="FirstParagraph"/>
      </w:pPr>
      <w:r>
        <w:t xml:space="preserve">€1.87M secured</w:t>
      </w:r>
      <w:r>
        <w:t xml:space="preserve"> </w:t>
      </w:r>
      <w:r>
        <w:t xml:space="preserve">across 14 projects, with the following distribution:</w:t>
      </w:r>
    </w:p>
    <w:p>
      <w:pPr>
        <w:numPr>
          <w:ilvl w:val="0"/>
          <w:numId w:val="1002"/>
        </w:numPr>
        <w:pStyle w:val="Compact"/>
      </w:pPr>
      <w:r>
        <w:t xml:space="preserve">EU Horizon Europe: €950K (51%) - Including two flagship projects: "AI for Sustainable Cities" (with BSC) and "Next-Gen Biotech Therapeutics"</w:t>
      </w:r>
    </w:p>
    <w:p>
      <w:pPr>
        <w:numPr>
          <w:ilvl w:val="0"/>
          <w:numId w:val="1002"/>
        </w:numPr>
        <w:pStyle w:val="Compact"/>
      </w:pPr>
      <w:r>
        <w:t xml:space="preserve">National Funding (MINECO): €480K (26%) - Accelerated through Barcelona's regional innovation agency, 22@Barcelona</w:t>
      </w:r>
    </w:p>
    <w:p>
      <w:pPr>
        <w:numPr>
          <w:ilvl w:val="0"/>
          <w:numId w:val="1002"/>
        </w:numPr>
        <w:pStyle w:val="Compact"/>
      </w:pPr>
      <w:r>
        <w:t xml:space="preserve">Industry Partnerships: €440K (23%) - Notable contracts with Novartis and BBVA for applied AI research</w:t>
      </w:r>
    </w:p>
    <w:p>
      <w:pPr>
        <w:pStyle w:val="FirstParagraph"/>
      </w:pPr>
      <w:r>
        <w:t xml:space="preserve">Notably, 89% of these funds were secured through proposals specifically designed for Spain Barcelona's strategic priorities, demonstrating our Academic Researcher team's deep local market understanding.</w:t>
      </w:r>
    </w:p>
    <w:bookmarkEnd w:id="22"/>
    <w:bookmarkStart w:id="23" w:name="collaboration-metrics"/>
    <w:p>
      <w:pPr>
        <w:pStyle w:val="Heading3"/>
      </w:pPr>
      <w:r>
        <w:t xml:space="preserve">Collaboration Metrics</w:t>
      </w:r>
    </w:p>
    <w:p>
      <w:pPr>
        <w:pStyle w:val="FirstParagraph"/>
      </w:pPr>
      <w:r>
        <w:t xml:space="preserve">Our Barcelona-based Academic Researcher unit generated 12 new high-value partnerships this quarter:</w:t>
      </w:r>
    </w:p>
    <w:p>
      <w:pPr>
        <w:numPr>
          <w:ilvl w:val="0"/>
          <w:numId w:val="1003"/>
        </w:numPr>
        <w:pStyle w:val="Compact"/>
      </w:pPr>
      <w:r>
        <w:rPr>
          <w:bCs/>
          <w:b/>
        </w:rPr>
        <w:t xml:space="preserve">Industry-University Collaborations:</w:t>
      </w:r>
      <w:r>
        <w:t xml:space="preserve"> </w:t>
      </w:r>
      <w:r>
        <w:t xml:space="preserve">7 partnerships (e.g., with Iberdrola on smart grid optimization)</w:t>
      </w:r>
    </w:p>
    <w:p>
      <w:pPr>
        <w:numPr>
          <w:ilvl w:val="0"/>
          <w:numId w:val="1003"/>
        </w:numPr>
        <w:pStyle w:val="Compact"/>
      </w:pPr>
      <w:r>
        <w:rPr>
          <w:bCs/>
          <w:b/>
        </w:rPr>
        <w:t xml:space="preserve">International Consortia:</w:t>
      </w:r>
      <w:r>
        <w:t xml:space="preserve"> </w:t>
      </w:r>
      <w:r>
        <w:t xml:space="preserve">4 joint bids with German and Dutch research institutes</w:t>
      </w:r>
    </w:p>
    <w:p>
      <w:pPr>
        <w:numPr>
          <w:ilvl w:val="0"/>
          <w:numId w:val="1003"/>
        </w:numPr>
        <w:pStyle w:val="Compact"/>
      </w:pPr>
      <w:r>
        <w:rPr>
          <w:bCs/>
          <w:b/>
        </w:rPr>
        <w:t xml:space="preserve">Catalan Government Initiatives:</w:t>
      </w:r>
      <w:r>
        <w:t xml:space="preserve"> </w:t>
      </w:r>
      <w:r>
        <w:t xml:space="preserve">3 formal agreements under Barcelona's "Research Catalyst Program"</w:t>
      </w:r>
    </w:p>
    <w:p>
      <w:pPr>
        <w:pStyle w:val="FirstParagraph"/>
      </w:pPr>
      <w:r>
        <w:t xml:space="preserve">The average deal size increased by 27% compared to Q2, directly attributable to our Academic Researcher's nuanced understanding of Barcelona's regulatory environment and cultural business practices.</w:t>
      </w:r>
    </w:p>
    <w:bookmarkEnd w:id="23"/>
    <w:bookmarkEnd w:id="24"/>
    <w:bookmarkStart w:id="28" w:name="Xc294bac362b0aceaf4d7a47a25a2df87e1a7436"/>
    <w:p>
      <w:pPr>
        <w:pStyle w:val="Heading2"/>
      </w:pPr>
      <w:r>
        <w:t xml:space="preserve">Strategic Initiatives Driving Success in Spain Barcelona</w:t>
      </w:r>
    </w:p>
    <w:p>
      <w:pPr>
        <w:pStyle w:val="FirstParagraph"/>
      </w:pPr>
      <w:r>
        <w:t xml:space="preserve">Our Sales Report identifies three key strategic pillars that differentiate our Academic Researcher performance in Spain Barcelona:</w:t>
      </w:r>
    </w:p>
    <w:bookmarkStart w:id="25" w:name="hyper-local-market-intelligence"/>
    <w:p>
      <w:pPr>
        <w:pStyle w:val="Heading3"/>
      </w:pPr>
      <w:r>
        <w:t xml:space="preserve">1. Hyper-Local Market Intelligence</w:t>
      </w:r>
    </w:p>
    <w:p>
      <w:pPr>
        <w:pStyle w:val="FirstParagraph"/>
      </w:pPr>
      <w:r>
        <w:t xml:space="preserve">The team maintains dedicated relationships with Catalonia's Ministry of Science, Innovation and Digital Transformation. This enables proactive identification of funding opportunities like the "Barcelona AI Challenge" (€5M fund), resulting in 4 successful bids this quarter. Our Academic Researcher explicitly references Barcelona's specific innovation clusters (e.g., "22@Barcelona Technology District") in all proposals to align with local priorities.</w:t>
      </w:r>
    </w:p>
    <w:bookmarkEnd w:id="25"/>
    <w:bookmarkStart w:id="26" w:name="cultural-integration-strategy"/>
    <w:p>
      <w:pPr>
        <w:pStyle w:val="Heading3"/>
      </w:pPr>
      <w:r>
        <w:t xml:space="preserve">2. Cultural Integration Strategy</w:t>
      </w:r>
    </w:p>
    <w:p>
      <w:pPr>
        <w:pStyle w:val="FirstParagraph"/>
      </w:pPr>
      <w:r>
        <w:t xml:space="preserve">Unlike generic academic teams, our Barcelona-based researchers conduct all client meetings in Spanish and Catalan where appropriate. This cultural fluency has accelerated deal closure times by 41% compared to international peers. For instance, the Siemens Healthineers partnership was finalized within 8 weeks due to the team's ability to navigate Barcelona's business etiquette during negotiations.</w:t>
      </w:r>
    </w:p>
    <w:bookmarkEnd w:id="26"/>
    <w:bookmarkStart w:id="27" w:name="ecosystem-navigation"/>
    <w:p>
      <w:pPr>
        <w:pStyle w:val="Heading3"/>
      </w:pPr>
      <w:r>
        <w:t xml:space="preserve">3. Ecosystem Navigation</w:t>
      </w:r>
    </w:p>
    <w:p>
      <w:pPr>
        <w:pStyle w:val="FirstParagraph"/>
      </w:pPr>
      <w:r>
        <w:t xml:space="preserve">The Academic Researcher unit maintains formal partnerships with key Barcelona stakeholders:</w:t>
      </w:r>
    </w:p>
    <w:p>
      <w:pPr>
        <w:numPr>
          <w:ilvl w:val="0"/>
          <w:numId w:val="1004"/>
        </w:numPr>
        <w:pStyle w:val="Compact"/>
      </w:pPr>
      <w:r>
        <w:t xml:space="preserve">Barcelona Activa (city innovation agency)</w:t>
      </w:r>
    </w:p>
    <w:p>
      <w:pPr>
        <w:numPr>
          <w:ilvl w:val="0"/>
          <w:numId w:val="1004"/>
        </w:numPr>
        <w:pStyle w:val="Compact"/>
      </w:pPr>
      <w:r>
        <w:t xml:space="preserve">Catalan Institute for Research and Advanced Studies (ICREA)</w:t>
      </w:r>
    </w:p>
    <w:p>
      <w:pPr>
        <w:numPr>
          <w:ilvl w:val="0"/>
          <w:numId w:val="1004"/>
        </w:numPr>
        <w:pStyle w:val="Compact"/>
      </w:pPr>
      <w:r>
        <w:t xml:space="preserve">Barcelona Tech City network</w:t>
      </w:r>
    </w:p>
    <w:p>
      <w:pPr>
        <w:pStyle w:val="FirstParagraph"/>
      </w:pPr>
      <w:r>
        <w:t xml:space="preserve">This embedded presence allows us to identify emerging opportunities 2-3 months before they are publicly advertised, giving our team a decisive competitive edge in Spain Barcelona's research funding market.</w:t>
      </w:r>
    </w:p>
    <w:bookmarkEnd w:id="27"/>
    <w:bookmarkEnd w:id="28"/>
    <w:bookmarkStart w:id="31" w:name="challenges-and-strategic-adjustments"/>
    <w:p>
      <w:pPr>
        <w:pStyle w:val="Heading2"/>
      </w:pPr>
      <w:r>
        <w:t xml:space="preserve">Challenges and Strategic Adjustments</w:t>
      </w:r>
    </w:p>
    <w:p>
      <w:pPr>
        <w:pStyle w:val="FirstParagraph"/>
      </w:pPr>
      <w:r>
        <w:t xml:space="preserve">Despite strong performance, two challenges emerged in Spain Barcelona's unique context:</w:t>
      </w:r>
    </w:p>
    <w:bookmarkStart w:id="29" w:name="X6c89c42609794afee1679f7feb09be21215f1c9"/>
    <w:p>
      <w:pPr>
        <w:pStyle w:val="Heading3"/>
      </w:pPr>
      <w:r>
        <w:t xml:space="preserve">Challenge 1: Complex Funding Application Process</w:t>
      </w:r>
    </w:p>
    <w:p>
      <w:pPr>
        <w:pStyle w:val="FirstParagraph"/>
      </w:pPr>
      <w:r>
        <w:t xml:space="preserve">The Spanish National Research Plan requires multiple parallel submissions across different regional bodies. Our Sales Report shows this increased proposal effort by 25% per application.</w:t>
      </w:r>
    </w:p>
    <w:p>
      <w:pPr>
        <w:pStyle w:val="BodyText"/>
      </w:pPr>
      <w:r>
        <w:rPr>
          <w:bCs/>
          <w:b/>
        </w:rPr>
        <w:t xml:space="preserve">Strategic Response:</w:t>
      </w:r>
      <w:r>
        <w:t xml:space="preserve"> </w:t>
      </w:r>
      <w:r>
        <w:t xml:space="preserve">Launched a Barcelona-specific proposal accelerator tool in Q3, reducing submission time by 38% and improving success rates from 47% to 68%.</w:t>
      </w:r>
    </w:p>
    <w:bookmarkEnd w:id="29"/>
    <w:bookmarkStart w:id="30" w:name="challenge-2-talent-competition"/>
    <w:p>
      <w:pPr>
        <w:pStyle w:val="Heading3"/>
      </w:pPr>
      <w:r>
        <w:t xml:space="preserve">Challenge 2: Talent Competition</w:t>
      </w:r>
    </w:p>
    <w:p>
      <w:pPr>
        <w:pStyle w:val="FirstParagraph"/>
      </w:pPr>
      <w:r>
        <w:t xml:space="preserve">The surge in academic funding has intensified competition for specialized researchers within Spain Barcelona's market.</w:t>
      </w:r>
    </w:p>
    <w:p>
      <w:pPr>
        <w:pStyle w:val="BodyText"/>
      </w:pPr>
      <w:r>
        <w:rPr>
          <w:bCs/>
          <w:b/>
        </w:rPr>
        <w:t xml:space="preserve">Strategic Response:</w:t>
      </w:r>
      <w:r>
        <w:t xml:space="preserve"> </w:t>
      </w:r>
      <w:r>
        <w:t xml:space="preserve">Implemented a talent development partnership with Universitat Pompeu Fabra, creating a dedicated pipeline of PhD candidates focused on Barcelona priority sectors.</w:t>
      </w:r>
    </w:p>
    <w:bookmarkEnd w:id="30"/>
    <w:bookmarkEnd w:id="31"/>
    <w:bookmarkStart w:id="32" w:name="X1d580197dce723348e9768e6acddbb0c8723895"/>
    <w:p>
      <w:pPr>
        <w:pStyle w:val="Heading2"/>
      </w:pPr>
      <w:r>
        <w:t xml:space="preserve">Future Outlook: Accelerating Spain Barcelona's Research Leadership</w:t>
      </w:r>
    </w:p>
    <w:p>
      <w:pPr>
        <w:pStyle w:val="FirstParagraph"/>
      </w:pPr>
      <w:r>
        <w:t xml:space="preserve">Our strategic roadmap for the next 18 months prioritizes scaling Spain Barcelona's position as Europe's premier research destination. Key initiatives include:</w:t>
      </w:r>
    </w:p>
    <w:p>
      <w:pPr>
        <w:numPr>
          <w:ilvl w:val="0"/>
          <w:numId w:val="1005"/>
        </w:numPr>
        <w:pStyle w:val="Compact"/>
      </w:pPr>
      <w:r>
        <w:rPr>
          <w:bCs/>
          <w:b/>
        </w:rPr>
        <w:t xml:space="preserve">Barcelona Research Hub Launch (Q1 2024):</w:t>
      </w:r>
      <w:r>
        <w:t xml:space="preserve"> </w:t>
      </w:r>
      <w:r>
        <w:t xml:space="preserve">A physical innovation center co-located with the BSC, designed to streamline industry-academia collaboration</w:t>
      </w:r>
    </w:p>
    <w:p>
      <w:pPr>
        <w:numPr>
          <w:ilvl w:val="0"/>
          <w:numId w:val="1005"/>
        </w:numPr>
        <w:pStyle w:val="Compact"/>
      </w:pPr>
      <w:r>
        <w:rPr>
          <w:bCs/>
          <w:b/>
        </w:rPr>
        <w:t xml:space="preserve">Eurozone Funding Target:</w:t>
      </w:r>
      <w:r>
        <w:t xml:space="preserve"> </w:t>
      </w:r>
      <w:r>
        <w:t xml:space="preserve">Securing €3.5M in EU funding by Q2 2024 through Barcelona-specific Horizon Europe clusters</w:t>
      </w:r>
    </w:p>
    <w:p>
      <w:pPr>
        <w:numPr>
          <w:ilvl w:val="0"/>
          <w:numId w:val="1005"/>
        </w:numPr>
        <w:pStyle w:val="Compact"/>
      </w:pPr>
      <w:r>
        <w:rPr>
          <w:bCs/>
          <w:b/>
        </w:rPr>
        <w:t xml:space="preserve">Talent Expansion:</w:t>
      </w:r>
      <w:r>
        <w:t xml:space="preserve"> </w:t>
      </w:r>
      <w:r>
        <w:t xml:space="preserve">Adding 8 new Academic Researcher positions focused exclusively on Barcelona's priority sectors (AI, sustainable tech, biomedicine)</w:t>
      </w:r>
    </w:p>
    <w:p>
      <w:pPr>
        <w:pStyle w:val="FirstParagraph"/>
      </w:pPr>
      <w:r>
        <w:t xml:space="preserve">As emphasized in our Sales Report analysis, Spain Barcelona isn't just a location – it's a strategic advantage. The city's research output has grown at 12% CAGR since 2020 (vs. EU average of 6%), and our Academic Researcher unit is positioned to capitalize on this momentum through hyper-localized sales strategies.</w:t>
      </w:r>
    </w:p>
    <w:bookmarkEnd w:id="32"/>
    <w:p>
      <w:pPr>
        <w:pStyle w:val="BodyText"/>
      </w:pPr>
      <w:r>
        <w:t xml:space="preserve">SALES REPORT: ACADEMIC RESEARCHER PERFORMANCE IN SPAIN BARCELONA - Q3 2023 | PREPARED FOR BARCELONA RESEARCH STRATEGY COUNCIL</w:t>
      </w:r>
    </w:p>
    <w:p>
      <w:pPr>
        <w:pStyle w:val="BodyText"/>
      </w:pPr>
      <w:r>
        <w:t xml:space="preserve">Report generated on October 15, 2023 | Confidential - For Internal Strategic Use Only</w:t>
      </w:r>
    </w:p>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Academic Researcher Sales Performance Report: Spain Barcelona</dc:title>
  <dc:creator/>
  <dc:language>en</dc:language>
  <cp:keywords/>
  <dcterms:created xsi:type="dcterms:W3CDTF">2026-07-21T06:00:45Z</dcterms:created>
  <dcterms:modified xsi:type="dcterms:W3CDTF">2026-07-21T06:00:45Z</dcterms:modified>
</cp:coreProperties>
</file>

<file path=docProps/custom.xml><?xml version="1.0" encoding="utf-8"?>
<Properties xmlns="http://schemas.openxmlformats.org/officeDocument/2006/custom-properties" xmlns:vt="http://schemas.openxmlformats.org/officeDocument/2006/docPropsVTypes"/>
</file>