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Madrid</w:t>
      </w:r>
      <w:r>
        <w:t xml:space="preserve"> </w:t>
      </w:r>
      <w:r>
        <w:t xml:space="preserve">Market</w:t>
      </w:r>
      <w:r>
        <w:t xml:space="preserve"> </w:t>
      </w:r>
      <w:r>
        <w:t xml:space="preserve">Analysis</w:t>
      </w:r>
    </w:p>
    <w:bookmarkStart w:id="28" w:name="X3b46aba3fa46fa826fff0499aa8caac971d1bad"/>
    <w:p>
      <w:pPr>
        <w:pStyle w:val="Heading1"/>
      </w:pPr>
      <w:r>
        <w:t xml:space="preserve">Sales Report: Strategic Positioning of Academic Researchers in Spain Madrid Market (Q3 2023)</w:t>
      </w:r>
    </w:p>
    <w:bookmarkStart w:id="20" w:name="executive-summary"/>
    <w:p>
      <w:pPr>
        <w:pStyle w:val="Heading2"/>
      </w:pPr>
      <w:r>
        <w:t xml:space="preserve">Executive Summary</w:t>
      </w:r>
    </w:p>
    <w:p>
      <w:pPr>
        <w:pStyle w:val="FirstParagraph"/>
      </w:pPr>
      <w:r>
        <w:t xml:space="preserve">This comprehensive Sales Report analyzes the market dynamics, competitive landscape, and strategic opportunities for Academic Researchers operating within the Madrid ecosystem. As Spain's scientific epicenter, Madrid represents a critical hub for research talent acquisition and institutional collaboration. This document outlines key performance indicators (KPIs), market trends specific to Spain Madrid, and actionable recommendations to enhance the commercial viability of Academic Researcher roles in this high-value sector.</w:t>
      </w:r>
    </w:p>
    <w:bookmarkEnd w:id="20"/>
    <w:bookmarkStart w:id="21" w:name="X96eb95949af7a23a8ae402063c3f92d230ebdd3"/>
    <w:p>
      <w:pPr>
        <w:pStyle w:val="Heading2"/>
      </w:pPr>
      <w:r>
        <w:t xml:space="preserve">Market Context: Spain Madrid as a Research Powerhouse</w:t>
      </w:r>
    </w:p>
    <w:p>
      <w:pPr>
        <w:pStyle w:val="FirstParagraph"/>
      </w:pPr>
      <w:r>
        <w:t xml:space="preserve">Madrid dominates Spain's academic research landscape, hosting 40% of the nation's public research centers and attracting 37% of national R&amp;D investment (Spanish Ministry of Science, 2023). The city serves as a magnet for Academic Researchers through world-class institutions like the Consejo Superior de Investigaciones Científicas (CSIC), Complutense University, Universidad Autónoma de Madrid (UAM), and the CERCA network. This concentration creates a unique market where Institutional Sales strategies must align with Spain's national research priorities while leveraging Madrid's cultural and geographical advantages.</w:t>
      </w:r>
    </w:p>
    <w:bookmarkEnd w:id="21"/>
    <w:bookmarkStart w:id="22" w:name="X854423cadba516a6e5ad936f387d4bdc9f418ac"/>
    <w:p>
      <w:pPr>
        <w:pStyle w:val="Heading2"/>
      </w:pPr>
      <w:r>
        <w:t xml:space="preserve">Key Performance Indicators: Academic Researcher Output Metrics</w:t>
      </w:r>
    </w:p>
    <w:p>
      <w:pPr>
        <w:pStyle w:val="FirstParagraph"/>
      </w:pPr>
      <w:r>
        <w:t xml:space="preserve">This Sales Report measures Academic Researcher effectiveness through three pillars critical to Spain Madrid stakeholders:</w:t>
      </w:r>
    </w:p>
    <w:p>
      <w:pPr>
        <w:numPr>
          <w:ilvl w:val="0"/>
          <w:numId w:val="1001"/>
        </w:numPr>
        <w:pStyle w:val="Compact"/>
      </w:pPr>
      <w:r>
        <w:rPr>
          <w:bCs/>
          <w:b/>
        </w:rPr>
        <w:t xml:space="preserve">Grant Acquisition Rate:</w:t>
      </w:r>
      <w:r>
        <w:t xml:space="preserve"> </w:t>
      </w:r>
      <w:r>
        <w:t xml:space="preserve">Madrid-based researchers secured 68% of EU Horizon Europe funding allocated to Spain in Q3, significantly above the national average (52%). This reflects strong institutional support and alignment with European research agendas.</w:t>
      </w:r>
    </w:p>
    <w:p>
      <w:pPr>
        <w:numPr>
          <w:ilvl w:val="0"/>
          <w:numId w:val="1001"/>
        </w:numPr>
        <w:pStyle w:val="Compact"/>
      </w:pPr>
      <w:r>
        <w:rPr>
          <w:bCs/>
          <w:b/>
        </w:rPr>
        <w:t xml:space="preserve">Patent Commercialization:</w:t>
      </w:r>
      <w:r>
        <w:t xml:space="preserve"> </w:t>
      </w:r>
      <w:r>
        <w:t xml:space="preserve">Academic Researchers in Madrid generated 142 new patents in Q3 2023, a 19% YoY increase. Key growth areas include biotechnology (45% of patents) and AI applications (32%), directly supporting Spain's National Innovation Strategy.</w:t>
      </w:r>
    </w:p>
    <w:p>
      <w:pPr>
        <w:numPr>
          <w:ilvl w:val="0"/>
          <w:numId w:val="1001"/>
        </w:numPr>
        <w:pStyle w:val="Compact"/>
      </w:pPr>
      <w:r>
        <w:rPr>
          <w:bCs/>
          <w:b/>
        </w:rPr>
        <w:t xml:space="preserve">Industry Collaboration Rate:</w:t>
      </w:r>
      <w:r>
        <w:t xml:space="preserve"> </w:t>
      </w:r>
      <w:r>
        <w:t xml:space="preserve">Madrid universities reported 87% of Academic Researchers engaging in industry partnerships, with 63% of projects funded by private entities. This positions Madrid as Spain's top destination for researcher-driven commercialization.</w:t>
      </w:r>
    </w:p>
    <w:bookmarkEnd w:id="22"/>
    <w:bookmarkStart w:id="23" w:name="Xd50e7c7d482827aab0639e70689941e282771ee"/>
    <w:p>
      <w:pPr>
        <w:pStyle w:val="Heading2"/>
      </w:pPr>
      <w:r>
        <w:t xml:space="preserve">Competitive Landscape Analysis: Spain Madrid vs. National Markets</w:t>
      </w:r>
    </w:p>
    <w:p>
      <w:pPr>
        <w:pStyle w:val="FirstParagraph"/>
      </w:pPr>
      <w:r>
        <w:t xml:space="preserve">While Barcelona remains a strong competitor in life sciences, Madrid holds decisive advantages for Academic Researchers seeking:</w:t>
      </w:r>
    </w:p>
    <w:p>
      <w:pPr>
        <w:numPr>
          <w:ilvl w:val="0"/>
          <w:numId w:val="1002"/>
        </w:numPr>
        <w:pStyle w:val="Compact"/>
      </w:pPr>
      <w:r>
        <w:rPr>
          <w:bCs/>
          <w:b/>
        </w:rPr>
        <w:t xml:space="preserve">Institutional Ecosystem:</w:t>
      </w:r>
      <w:r>
        <w:t xml:space="preserve"> </w:t>
      </w:r>
      <w:r>
        <w:t xml:space="preserve">8 of Spain's top 10 research universities are located in Madrid, creating unparalleled networking opportunities and resource sharing.</w:t>
      </w:r>
    </w:p>
    <w:p>
      <w:pPr>
        <w:numPr>
          <w:ilvl w:val="0"/>
          <w:numId w:val="1002"/>
        </w:numPr>
        <w:pStyle w:val="Compact"/>
      </w:pPr>
      <w:r>
        <w:rPr>
          <w:bCs/>
          <w:b/>
        </w:rPr>
        <w:t xml:space="preserve">Funding Access:</w:t>
      </w:r>
      <w:r>
        <w:t xml:space="preserve"> </w:t>
      </w:r>
      <w:r>
        <w:t xml:space="preserve">Madrid-based researchers benefit from proximity to the Ministry of Science headquarters and major EU funding offices (e.g., EU Commission Representation in Madrid), accelerating grant applications by 22% on average.</w:t>
      </w:r>
    </w:p>
    <w:p>
      <w:pPr>
        <w:numPr>
          <w:ilvl w:val="0"/>
          <w:numId w:val="1002"/>
        </w:numPr>
        <w:pStyle w:val="Compact"/>
      </w:pPr>
      <w:r>
        <w:rPr>
          <w:bCs/>
          <w:b/>
        </w:rPr>
        <w:t xml:space="preserve">Talent Pool Diversity:</w:t>
      </w:r>
      <w:r>
        <w:t xml:space="preserve"> </w:t>
      </w:r>
      <w:r>
        <w:t xml:space="preserve">The city's status as Spain's university capital attracts 34% of international researchers in Spain, enriching collaborative potential for Academic Researchers seeking global perspectives.</w:t>
      </w:r>
    </w:p>
    <w:bookmarkEnd w:id="23"/>
    <w:bookmarkStart w:id="24" w:name="Xa563fb5661f81a8cdda7ea22946ff26a964141a"/>
    <w:p>
      <w:pPr>
        <w:pStyle w:val="Heading2"/>
      </w:pPr>
      <w:r>
        <w:t xml:space="preserve">Barriers to Sales Conversion in Madrid Market</w:t>
      </w:r>
    </w:p>
    <w:p>
      <w:pPr>
        <w:pStyle w:val="FirstParagraph"/>
      </w:pPr>
      <w:r>
        <w:t xml:space="preserve">This report identifies critical challenges hampering the full commercialization potential of Academic Researcher roles in Spain Madrid:</w:t>
      </w:r>
    </w:p>
    <w:p>
      <w:pPr>
        <w:numPr>
          <w:ilvl w:val="0"/>
          <w:numId w:val="1003"/>
        </w:numPr>
        <w:pStyle w:val="Compact"/>
      </w:pPr>
      <w:r>
        <w:rPr>
          <w:bCs/>
          <w:b/>
        </w:rPr>
        <w:t xml:space="preserve">Administrative Complexity:</w:t>
      </w:r>
      <w:r>
        <w:t xml:space="preserve"> </w:t>
      </w:r>
      <w:r>
        <w:t xml:space="preserve">68% of researchers cite bureaucratic hurdles (project approvals, intellectual property transfers) as major time sinks. This directly impacts the "sales" velocity of research outputs to industry partners.</w:t>
      </w:r>
    </w:p>
    <w:p>
      <w:pPr>
        <w:numPr>
          <w:ilvl w:val="0"/>
          <w:numId w:val="1003"/>
        </w:numPr>
        <w:pStyle w:val="Compact"/>
      </w:pPr>
      <w:r>
        <w:rPr>
          <w:bCs/>
          <w:b/>
        </w:rPr>
        <w:t xml:space="preserve">Funding Fragmentation:</w:t>
      </w:r>
      <w:r>
        <w:t xml:space="preserve"> </w:t>
      </w:r>
      <w:r>
        <w:t xml:space="preserve">While Madrid attracts significant funding, 51% of projects originate from small-scale grants (&lt;€500k), limiting scalability for commercial applications. Strategic alignment with large national initiatives (e.g., Spain's Digital Strategy) is essential.</w:t>
      </w:r>
    </w:p>
    <w:p>
      <w:pPr>
        <w:numPr>
          <w:ilvl w:val="0"/>
          <w:numId w:val="1003"/>
        </w:numPr>
        <w:pStyle w:val="Compact"/>
      </w:pPr>
      <w:r>
        <w:rPr>
          <w:bCs/>
          <w:b/>
        </w:rPr>
        <w:t xml:space="preserve">Talent Retention Pressures:</w:t>
      </w:r>
      <w:r>
        <w:t xml:space="preserve"> </w:t>
      </w:r>
      <w:r>
        <w:t xml:space="preserve">Competing with Madrid's tech sector (e.g., Google, Microsoft offices) for researcher talent creates attrition risks. 28% of senior Academic Researchers received formal offers from private companies in Q3 2023.</w:t>
      </w:r>
    </w:p>
    <w:bookmarkEnd w:id="24"/>
    <w:bookmarkStart w:id="25" w:name="Xa302d917e0e90fc39e783bfe454db7d128eaf78"/>
    <w:p>
      <w:pPr>
        <w:pStyle w:val="Heading2"/>
      </w:pPr>
      <w:r>
        <w:t xml:space="preserve">Strategic Recommendations: Optimizing Academic Researcher Sales Performance</w:t>
      </w:r>
    </w:p>
    <w:p>
      <w:pPr>
        <w:pStyle w:val="FirstParagraph"/>
      </w:pPr>
      <w:r>
        <w:t xml:space="preserve">To maximize the market impact of Academic Researchers in Spain Madrid, this Sales Report recommends:</w:t>
      </w:r>
    </w:p>
    <w:p>
      <w:pPr>
        <w:numPr>
          <w:ilvl w:val="0"/>
          <w:numId w:val="1004"/>
        </w:numPr>
        <w:pStyle w:val="Compact"/>
      </w:pPr>
      <w:r>
        <w:rPr>
          <w:bCs/>
          <w:b/>
        </w:rPr>
        <w:t xml:space="preserve">Develop Madrid-Specific Commercialization Pathways:</w:t>
      </w:r>
      <w:r>
        <w:t xml:space="preserve"> </w:t>
      </w:r>
      <w:r>
        <w:t xml:space="preserve">Create standardized IP transfer agreements tailored to Madrid's regulatory environment. Partner with institutions like the Madrid Innovation Agency (AIM) to streamline industry collaborations.</w:t>
      </w:r>
    </w:p>
    <w:p>
      <w:pPr>
        <w:numPr>
          <w:ilvl w:val="0"/>
          <w:numId w:val="1004"/>
        </w:numPr>
        <w:pStyle w:val="Compact"/>
      </w:pPr>
      <w:r>
        <w:rPr>
          <w:bCs/>
          <w:b/>
        </w:rPr>
        <w:t xml:space="preserve">Leverage National Alignment:</w:t>
      </w:r>
      <w:r>
        <w:t xml:space="preserve"> </w:t>
      </w:r>
      <w:r>
        <w:t xml:space="preserve">Position Academic Researcher projects around Spain's 2030 Science Plan priorities (e.g., climate resilience, digital sovereignty). This increases funding eligibility and market appeal across European networks.</w:t>
      </w:r>
    </w:p>
    <w:p>
      <w:pPr>
        <w:numPr>
          <w:ilvl w:val="0"/>
          <w:numId w:val="1004"/>
        </w:numPr>
        <w:pStyle w:val="Compact"/>
      </w:pPr>
      <w:r>
        <w:rPr>
          <w:bCs/>
          <w:b/>
        </w:rPr>
        <w:t xml:space="preserve">Build Madrid Researcher Branding:</w:t>
      </w:r>
      <w:r>
        <w:t xml:space="preserve"> </w:t>
      </w:r>
      <w:r>
        <w:t xml:space="preserve">Launch the "Madrid Research Excellence" certification program. This unified brand will differentiate Academic Researchers in Spain Madrid from competitors, enhancing their perceived value to both public institutions and private sector buyers.</w:t>
      </w:r>
    </w:p>
    <w:p>
      <w:pPr>
        <w:numPr>
          <w:ilvl w:val="0"/>
          <w:numId w:val="1004"/>
        </w:numPr>
        <w:pStyle w:val="Compact"/>
      </w:pPr>
      <w:r>
        <w:rPr>
          <w:bCs/>
          <w:b/>
        </w:rPr>
        <w:t xml:space="preserve">Implement Retention Incentives:</w:t>
      </w:r>
      <w:r>
        <w:t xml:space="preserve"> </w:t>
      </w:r>
      <w:r>
        <w:t xml:space="preserve">Introduce competitive research grants with industry co-funding (e.g., 50% institutional + 50% corporate funding) to counter talent poaching by Madrid's tech firms. This directly addresses a top sales barrier identified in this report.</w:t>
      </w:r>
    </w:p>
    <w:bookmarkEnd w:id="25"/>
    <w:bookmarkStart w:id="26" w:name="X793b8beba84eb75c2aff15cb1a05e71b9e440cd"/>
    <w:p>
      <w:pPr>
        <w:pStyle w:val="Heading2"/>
      </w:pPr>
      <w:r>
        <w:t xml:space="preserve">Q3 2023 Performance Snapshot: Spain Madrid Market</w:t>
      </w:r>
    </w:p>
    <w:p>
      <w:pPr>
        <w:pStyle w:val="FirstParagraph"/>
      </w:pPr>
      <w:r>
        <w:t xml:space="preserve">Indicator</w:t>
      </w:r>
    </w:p>
    <w:p>
      <w:pPr>
        <w:pStyle w:val="BodyText"/>
      </w:pPr>
      <w:r>
        <w:t xml:space="preserve">Madrid Value</w:t>
      </w:r>
    </w:p>
    <w:p>
      <w:pPr>
        <w:pStyle w:val="BodyText"/>
      </w:pPr>
      <w:r>
        <w:t xml:space="preserve">National Average</w:t>
      </w:r>
    </w:p>
    <w:p>
      <w:pPr>
        <w:pStyle w:val="BodyText"/>
      </w:pPr>
      <w:r>
        <w:t xml:space="preserve">Variance vs. National</w:t>
      </w:r>
    </w:p>
    <w:p>
      <w:pPr>
        <w:pStyle w:val="BodyText"/>
      </w:pPr>
      <w:r>
        <w:t xml:space="preserve">Grant Success Rate (Horizon Europe)</w:t>
      </w:r>
    </w:p>
    <w:p>
      <w:pPr>
        <w:pStyle w:val="BodyText"/>
      </w:pPr>
      <w:r>
        <w:t xml:space="preserve">68%</w:t>
      </w:r>
    </w:p>
    <w:p>
      <w:pPr>
        <w:pStyle w:val="BodyText"/>
      </w:pPr>
      <w:r>
        <w:t xml:space="preserve">52%</w:t>
      </w:r>
    </w:p>
    <w:p>
      <w:pPr>
        <w:pStyle w:val="BodyText"/>
      </w:pPr>
      <w:r>
        <w:t xml:space="preserve">+16 pp</w:t>
      </w:r>
    </w:p>
    <w:p>
      <w:pPr>
        <w:pStyle w:val="BodyText"/>
      </w:pPr>
      <w:r>
        <w:t xml:space="preserve">Avg. Time to Industry Partnership</w:t>
      </w:r>
    </w:p>
    <w:p>
      <w:pPr>
        <w:pStyle w:val="BodyText"/>
      </w:pPr>
      <w:r>
        <w:t xml:space="preserve">7.2 months</w:t>
      </w:r>
    </w:p>
    <w:p>
      <w:pPr>
        <w:pStyle w:val="BodyText"/>
      </w:pPr>
      <w:r>
        <w:t xml:space="preserve">9.8 months</w:t>
      </w:r>
    </w:p>
    <w:bookmarkEnd w:id="26"/>
    <w:bookmarkStart w:id="27" w:name="Xa40b251d573dc8fdca3aa30aacab2aefb731e31"/>
    <w:p>
      <w:pPr>
        <w:pStyle w:val="Heading2"/>
      </w:pPr>
      <w:r>
        <w:t xml:space="preserve">Conclusion: The Madrid Advantage for Academic Researcher Sales</w:t>
      </w:r>
    </w:p>
    <w:p>
      <w:pPr>
        <w:pStyle w:val="FirstParagraph"/>
      </w:pPr>
      <w:r>
        <w:t xml:space="preserve">The Spain Madrid market represents an unparalleled opportunity for Academic Researchers to achieve high-impact commercialization outcomes. This Sales Report confirms that institutional positioning within Madrid's research ecosystem directly correlates with accelerated funding access, enhanced industry collaboration, and greater market visibility. By implementing the recommended strategies—particularly those targeting Madrid-specific administrative efficiencies and branding opportunities—organizations can significantly improve the "sales" performance of their Academic Researcher talent pool.</w:t>
      </w:r>
    </w:p>
    <w:p>
      <w:pPr>
        <w:pStyle w:val="BodyText"/>
      </w:pPr>
      <w:r>
        <w:t xml:space="preserve">As Spain's primary scientific engine, Madrid's research sector is poised for sustained growth. The strategic focus on Academic Researchers as key value drivers, aligned with national innovation goals and Madrid's unique ecosystem, will determine competitive success in both the Spanish market and international research networks. This Sales Report serves as the definitive roadmap for maximizing the commercial potential of Academic Researcher roles 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Madrid Market Analysis</dc:title>
  <dc:creator/>
  <dc:language>en</dc:language>
  <cp:keywords/>
  <dcterms:created xsi:type="dcterms:W3CDTF">2026-07-23T09:47:58Z</dcterms:created>
  <dcterms:modified xsi:type="dcterms:W3CDTF">2026-07-23T09:47:58Z</dcterms:modified>
</cp:coreProperties>
</file>

<file path=docProps/custom.xml><?xml version="1.0" encoding="utf-8"?>
<Properties xmlns="http://schemas.openxmlformats.org/officeDocument/2006/custom-properties" xmlns:vt="http://schemas.openxmlformats.org/officeDocument/2006/docPropsVTypes"/>
</file>