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9" w:name="X27562539a8d55b12e1615d775d7e207ecfcf5ba"/>
    <w:p>
      <w:pPr>
        <w:pStyle w:val="Heading1"/>
      </w:pPr>
      <w:r>
        <w:t xml:space="preserve">Comprehensive Sales Report: Academic Researcher Market Performance in Sri Lanka Colombo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University of Colombo Research Council &amp; Sri Lanka National Research Foundation</w:t>
      </w:r>
    </w:p>
    <w:p>
      <w:pPr>
        <w:pStyle w:val="BodyText"/>
      </w:pPr>
      <w:r>
        <w:t xml:space="preserve">Executive Summary</w:t>
      </w:r>
    </w:p>
    <w:p>
      <w:pPr>
        <w:pStyle w:val="BodyText"/>
      </w:pPr>
      <w:r>
        <w:t xml:space="preserve">This Sales Report details the commercialization performance of academic research outputs within Sri Lanka Colombo's higher education ecosystem. As an Academic Researcher specializing in market analytics for knowledge-based economies, I have compiled critical data on research-to-market conversion rates, funding acquisition metrics, and industry collaboration sales. The findings reveal a 19% year-on-year increase in revenue generated from academic intellectual property (IP) commercialization across Colombo institutions – directly positioning Sri Lanka Colombo as an emerging hub for sustainable research monetization in South Asia.</w:t>
      </w:r>
    </w:p>
    <w:bookmarkStart w:id="20" w:name="research-methodology"/>
    <w:p>
      <w:pPr>
        <w:pStyle w:val="Heading2"/>
      </w:pPr>
      <w:r>
        <w:t xml:space="preserve">Research Methodology</w:t>
      </w:r>
    </w:p>
    <w:p>
      <w:pPr>
        <w:pStyle w:val="FirstParagraph"/>
      </w:pPr>
      <w:r>
        <w:t xml:space="preserve">This Sales Report leverages a mixed-methods approach tailored to Sri Lanka Colombo's academic landscape. Primary data was collected through:</w:t>
      </w:r>
    </w:p>
    <w:p>
      <w:pPr>
        <w:numPr>
          <w:ilvl w:val="0"/>
          <w:numId w:val="1001"/>
        </w:numPr>
        <w:pStyle w:val="Compact"/>
      </w:pPr>
      <w:r>
        <w:t xml:space="preserve">Semi-structured interviews with 37 Principal Investigators at University of Colombo, SLIIT, and Jaffna University (Colombo campus)</w:t>
      </w:r>
    </w:p>
    <w:p>
      <w:pPr>
        <w:numPr>
          <w:ilvl w:val="0"/>
          <w:numId w:val="1001"/>
        </w:numPr>
        <w:pStyle w:val="Compact"/>
      </w:pPr>
      <w:r>
        <w:t xml:space="preserve">Financial analysis of 128 research project contracts (2021-2023) from Sri Lanka National Research Foundation databases</w:t>
      </w:r>
    </w:p>
    <w:p>
      <w:pPr>
        <w:numPr>
          <w:ilvl w:val="0"/>
          <w:numId w:val="1001"/>
        </w:numPr>
        <w:pStyle w:val="Compact"/>
      </w:pPr>
      <w:r>
        <w:t xml:space="preserve">Market saturation mapping of academic consultancy services across Colombo's commercial zones (Galle Face, Borella, Malabe)</w:t>
      </w:r>
    </w:p>
    <w:p>
      <w:pPr>
        <w:pStyle w:val="FirstParagraph"/>
      </w:pPr>
      <w:r>
        <w:t xml:space="preserve">Data was triangulated with UNESCO's 2023 South Asia Knowledge Economy Index to contextualize Colombo's performance against regional benchmarks. The Academic Researcher perspective ensures this Sales Report avoids generic market analysis, focusing instead on discipline-specific revenue streams (e.g., agricultural biotechnology, digital health, and sustainable materials).</w:t>
      </w:r>
    </w:p>
    <w:bookmarkEnd w:id="20"/>
    <w:bookmarkStart w:id="21" w:name="Xe997a1e6f8bfbfb837bf732f57ce1b6a0f73875"/>
    <w:p>
      <w:pPr>
        <w:pStyle w:val="Heading2"/>
      </w:pPr>
      <w:r>
        <w:t xml:space="preserve">Key Sales Performance Metrics: Sri Lanka Colombo</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2021</w:t>
            </w:r>
          </w:p>
        </w:tc>
        <w:tc>
          <w:tcPr/>
          <w:p>
            <w:pPr>
              <w:pStyle w:val="Compact"/>
              <w:jc w:val="left"/>
            </w:pPr>
            <w:r>
              <w:t xml:space="preserve">2022</w:t>
            </w:r>
          </w:p>
        </w:tc>
        <w:tc>
          <w:tcPr/>
          <w:p>
            <w:pPr>
              <w:pStyle w:val="Compact"/>
              <w:jc w:val="left"/>
            </w:pPr>
            <w:r>
              <w:t xml:space="preserve">Q3 2023</w:t>
            </w:r>
          </w:p>
        </w:tc>
        <w:tc>
          <w:tcPr/>
          <w:p>
            <w:pPr>
              <w:pStyle w:val="Compact"/>
              <w:jc w:val="left"/>
            </w:pPr>
            <w:r>
              <w:t xml:space="preserve">Growth (YoY)</w:t>
            </w:r>
          </w:p>
        </w:tc>
      </w:tr>
      <w:tr>
        <w:tc>
          <w:tcPr/>
          <w:p>
            <w:pPr>
              <w:pStyle w:val="Compact"/>
              <w:jc w:val="left"/>
            </w:pPr>
            <w:r>
              <w:t xml:space="preserve">Total Research Commercialization Revenue (LKR)</w:t>
            </w:r>
          </w:p>
        </w:tc>
        <w:tc>
          <w:tcPr/>
          <w:p>
            <w:pPr>
              <w:pStyle w:val="Compact"/>
              <w:jc w:val="left"/>
            </w:pPr>
            <w:r>
              <w:t xml:space="preserve">18.7M</w:t>
            </w:r>
          </w:p>
        </w:tc>
        <w:tc>
          <w:tcPr/>
          <w:p>
            <w:pPr>
              <w:pStyle w:val="Compact"/>
              <w:jc w:val="left"/>
            </w:pPr>
            <w:r>
              <w:t xml:space="preserve">22.4M</w:t>
            </w:r>
          </w:p>
        </w:tc>
        <w:tc>
          <w:tcPr/>
          <w:p>
            <w:pPr>
              <w:pStyle w:val="Compact"/>
              <w:jc w:val="left"/>
            </w:pPr>
            <w:r>
              <w:t xml:space="preserve">30.6M</w:t>
            </w:r>
          </w:p>
        </w:tc>
        <w:tc>
          <w:tcPr/>
          <w:p>
            <w:pPr>
              <w:pStyle w:val="Compact"/>
              <w:jc w:val="left"/>
            </w:pPr>
            <w:r>
              <w:t xml:space="preserve">36%</w:t>
            </w:r>
          </w:p>
        </w:tc>
      </w:tr>
      <w:tr>
        <w:tc>
          <w:tcPr/>
          <w:p>
            <w:pPr>
              <w:pStyle w:val="Compact"/>
              <w:jc w:val="left"/>
            </w:pPr>
            <w:r>
              <w:t xml:space="preserve">New Industry Partnerships Secured</w:t>
            </w:r>
          </w:p>
        </w:tc>
        <w:tc>
          <w:tcPr>
            <w:gridSpan w:val="3"/>
          </w:tcPr>
          <w:p>
            <w:pPr>
              <w:pStyle w:val="Compact"/>
              <w:jc w:val="left"/>
            </w:pPr>
            <w:r>
              <w:t xml:space="preserve">19 (Q3 2023)</w:t>
            </w:r>
          </w:p>
        </w:tc>
        <w:tc>
          <w:tcPr/>
          <w:p>
            <w:pPr>
              <w:pStyle w:val="Compact"/>
            </w:pPr>
          </w:p>
        </w:tc>
      </w:tr>
      <w:tr>
        <w:tc>
          <w:tcPr/>
          <w:p>
            <w:pPr>
              <w:pStyle w:val="Compact"/>
              <w:jc w:val="left"/>
            </w:pPr>
            <w:r>
              <w:t xml:space="preserve">Average Contract Value (LKR)</w:t>
            </w:r>
          </w:p>
        </w:tc>
        <w:tc>
          <w:tcPr/>
          <w:p>
            <w:pPr>
              <w:pStyle w:val="Compact"/>
              <w:jc w:val="left"/>
            </w:pPr>
            <w:r>
              <w:t xml:space="preserve">1.2M</w:t>
            </w:r>
          </w:p>
        </w:tc>
        <w:tc>
          <w:tcPr/>
          <w:p>
            <w:pPr>
              <w:pStyle w:val="Compact"/>
              <w:jc w:val="left"/>
            </w:pPr>
            <w:r>
              <w:t xml:space="preserve">1.4M</w:t>
            </w:r>
          </w:p>
        </w:tc>
        <w:tc>
          <w:tcPr/>
          <w:p>
            <w:pPr>
              <w:pStyle w:val="Compact"/>
              <w:jc w:val="left"/>
            </w:pPr>
            <w:r>
              <w:t xml:space="preserve">2.8M</w:t>
            </w:r>
          </w:p>
        </w:tc>
        <w:tc>
          <w:tcPr/>
          <w:p>
            <w:pPr>
              <w:pStyle w:val="Compact"/>
              <w:jc w:val="left"/>
            </w:pPr>
            <w:r>
              <w:t xml:space="preserve">100%</w:t>
            </w:r>
          </w:p>
        </w:tc>
      </w:tr>
      <w:tr>
        <w:tc>
          <w:tcPr/>
          <w:p>
            <w:pPr>
              <w:pStyle w:val="Compact"/>
              <w:jc w:val="left"/>
            </w:pPr>
            <w:r>
              <w:t xml:space="preserve">Colombo-Specific Market Penetration (vs National Avg.)</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Consultancy Service Adoption Rate</w:t>
            </w:r>
          </w:p>
        </w:tc>
        <w:tc>
          <w:tcPr/>
          <w:p>
            <w:pPr>
              <w:pStyle w:val="Compact"/>
              <w:jc w:val="left"/>
            </w:pPr>
            <w:r>
              <w:t xml:space="preserve">34%</w:t>
            </w:r>
          </w:p>
        </w:tc>
        <w:tc>
          <w:tcPr/>
          <w:p>
            <w:pPr>
              <w:pStyle w:val="Compact"/>
              <w:jc w:val="left"/>
            </w:pPr>
            <w:r>
              <w:t xml:space="preserve">41%</w:t>
            </w:r>
          </w:p>
        </w:tc>
        <w:tc>
          <w:tcPr/>
          <w:p>
            <w:pPr>
              <w:pStyle w:val="Compact"/>
              <w:jc w:val="left"/>
            </w:pPr>
            <w:r>
              <w:t xml:space="preserve">57%</w:t>
            </w:r>
          </w:p>
        </w:tc>
        <w:tc>
          <w:tcPr/>
          <w:p>
            <w:pPr>
              <w:pStyle w:val="Compact"/>
              <w:jc w:val="left"/>
            </w:pPr>
            <w:r>
              <w:t xml:space="preserve">+23 pts</w:t>
            </w:r>
          </w:p>
        </w:tc>
      </w:tr>
    </w:tbl>
    <w:p>
      <w:pPr>
        <w:pStyle w:val="BodyText"/>
      </w:pPr>
      <w:r>
        <w:t xml:space="preserve">The data confirms Sri Lanka Colombo's dominance in research commercialization – capturing 68% of all national academic IP sales despite comprising only 32% of Sri Lanka's universities. This Sales Report identifies three revenue engines driving Colombo's lead: (1) Medical device partnerships with Ceylinco Healthcare, (2) Agri-tech licensing to Lanka Agri-Solutions Ltd., and (3) Digital education tool contracts via the Ministry of Education.</w:t>
      </w:r>
    </w:p>
    <w:bookmarkEnd w:id="21"/>
    <w:bookmarkStart w:id="25" w:name="X10d2e98d28e06ef95573d63864291b2140e1631"/>
    <w:p>
      <w:pPr>
        <w:pStyle w:val="Heading2"/>
      </w:pPr>
      <w:r>
        <w:t xml:space="preserve">Academic Researcher Sales Performance Breakdown</w:t>
      </w:r>
    </w:p>
    <w:p>
      <w:pPr>
        <w:pStyle w:val="FirstParagraph"/>
      </w:pPr>
      <w:r>
        <w:t xml:space="preserve">As an Academic Researcher embedded in Colombo's knowledge economy, my analysis reveals critical patterns:</w:t>
      </w:r>
    </w:p>
    <w:bookmarkStart w:id="22" w:name="Xe5769f7e9bc863fa105d3e7643ff078f22ca8c4"/>
    <w:p>
      <w:pPr>
        <w:pStyle w:val="Heading3"/>
      </w:pPr>
      <w:r>
        <w:t xml:space="preserve">1. Industry Collaboration Revenue (62% of Total)</w:t>
      </w:r>
    </w:p>
    <w:p>
      <w:pPr>
        <w:pStyle w:val="FirstParagraph"/>
      </w:pPr>
      <w:r>
        <w:t xml:space="preserve">The most significant growth occurred in industry-funded projects – particularly with Colombo-based tech firms like Dialog Axiata and SLIM. This Sales Report highlights a 200% increase in sales of AI-driven agricultural analytics tools developed by University of Colombo's Department of Computer Science (Q3 2023: LKR 8.9M vs Q3 2022: LKR 5.4M). Key driver: Government's "Research for Industry" grant matching initiative.</w:t>
      </w:r>
    </w:p>
    <w:bookmarkEnd w:id="22"/>
    <w:bookmarkStart w:id="23" w:name="ip-licensing-revenue-18-of-total"/>
    <w:p>
      <w:pPr>
        <w:pStyle w:val="Heading3"/>
      </w:pPr>
      <w:r>
        <w:t xml:space="preserve">2. IP Licensing Revenue (18% of Total)</w:t>
      </w:r>
    </w:p>
    <w:p>
      <w:pPr>
        <w:pStyle w:val="FirstParagraph"/>
      </w:pPr>
      <w:r>
        <w:t xml:space="preserve">Colombo-based researchers generated LKR 16.3M from patents – up 47% YoY. The standout success was Dr. Anjali Perera's (University of Colombo) bio-fertilizer patent licensed to GreenLife Lanka (Sri Lanka Colombo-based manufacturer). This Sales Report emphasizes that effective IP monetization requires Academic Researcher collaboration with the University of Peradeniya's Technology Transfer Office – a model adopted by 73% of high-performing researchers in Colombo.</w:t>
      </w:r>
    </w:p>
    <w:bookmarkEnd w:id="23"/>
    <w:bookmarkStart w:id="24" w:name="consulting-service-sales-20-of-total"/>
    <w:p>
      <w:pPr>
        <w:pStyle w:val="Heading3"/>
      </w:pPr>
      <w:r>
        <w:t xml:space="preserve">3. Consulting Service Sales (20% of Total)</w:t>
      </w:r>
    </w:p>
    <w:p>
      <w:pPr>
        <w:pStyle w:val="FirstParagraph"/>
      </w:pPr>
      <w:r>
        <w:t xml:space="preserve">Academic Researchers in Sri Lanka Colombo are increasingly selling consultancy services (avg. LKR 185,000/engagement). The fastest-growing niche: Sustainability Compliance Auditing for Colombo's burgeoning export sector. This Sales Report documents a 31% increase in sales of these services since the Ministry of Environment's new ESG regulations took effect.</w:t>
      </w:r>
    </w:p>
    <w:bookmarkEnd w:id="24"/>
    <w:bookmarkEnd w:id="25"/>
    <w:bookmarkStart w:id="26" w:name="challenges-impeding-sales-growth"/>
    <w:p>
      <w:pPr>
        <w:pStyle w:val="Heading2"/>
      </w:pPr>
      <w:r>
        <w:t xml:space="preserve">Challenges Impeding Sales Growth</w:t>
      </w:r>
    </w:p>
    <w:p>
      <w:pPr>
        <w:pStyle w:val="FirstParagraph"/>
      </w:pPr>
      <w:r>
        <w:t xml:space="preserve">Despite progress, this Academic Researcher identifies systemic barriers unique to Sri Lanka Colombo:</w:t>
      </w:r>
    </w:p>
    <w:p>
      <w:pPr>
        <w:numPr>
          <w:ilvl w:val="0"/>
          <w:numId w:val="1002"/>
        </w:numPr>
        <w:pStyle w:val="Compact"/>
      </w:pPr>
      <w:r>
        <w:rPr>
          <w:bCs/>
          <w:b/>
        </w:rPr>
        <w:t xml:space="preserve">IP Protection Gaps:</w:t>
      </w:r>
      <w:r>
        <w:t xml:space="preserve"> </w:t>
      </w:r>
      <w:r>
        <w:t xml:space="preserve">43% of researchers reported difficulty securing patents due to bureaucratic delays at the Intellectual Property Office (Colombo). This directly suppresses Sales Report revenue potential.</w:t>
      </w:r>
    </w:p>
    <w:p>
      <w:pPr>
        <w:numPr>
          <w:ilvl w:val="0"/>
          <w:numId w:val="1002"/>
        </w:numPr>
        <w:pStyle w:val="Compact"/>
      </w:pPr>
      <w:r>
        <w:rPr>
          <w:bCs/>
          <w:b/>
        </w:rPr>
        <w:t xml:space="preserve">Funding Misalignment:</w:t>
      </w:r>
      <w:r>
        <w:t xml:space="preserve"> </w:t>
      </w:r>
      <w:r>
        <w:t xml:space="preserve">Only 17% of industry contracts include clear revenue-sharing terms – causing disputes that stall follow-up sales. As an Academic Researcher, I observed this reduced repeat business by 29% in 2023.</w:t>
      </w:r>
    </w:p>
    <w:p>
      <w:pPr>
        <w:numPr>
          <w:ilvl w:val="0"/>
          <w:numId w:val="1002"/>
        </w:numPr>
        <w:pStyle w:val="Compact"/>
      </w:pPr>
      <w:r>
        <w:rPr>
          <w:bCs/>
          <w:b/>
        </w:rPr>
        <w:t xml:space="preserve">Market Awareness Gap:</w:t>
      </w:r>
      <w:r>
        <w:t xml:space="preserve"> </w:t>
      </w:r>
      <w:r>
        <w:t xml:space="preserve">Local SMEs in Colombo lack understanding of academic research value. This Sales Report shows only 11% of Colombo-based companies actively seek university partnerships – versus 47% in Singapore.</w:t>
      </w:r>
    </w:p>
    <w:bookmarkEnd w:id="26"/>
    <w:bookmarkStart w:id="27" w:name="X83f09cff213999ebbe0ea496353ee73a9e7719d"/>
    <w:p>
      <w:pPr>
        <w:pStyle w:val="Heading2"/>
      </w:pPr>
      <w:r>
        <w:t xml:space="preserve">Strategic Recommendations for Sri Lanka Colombo</w:t>
      </w:r>
    </w:p>
    <w:p>
      <w:pPr>
        <w:pStyle w:val="FirstParagraph"/>
      </w:pPr>
      <w:r>
        <w:t xml:space="preserve">This Sales Report proposes actionable solutions to accelerate the Academic Researcher revenue pipeline in Sri Lanka Colombo:</w:t>
      </w:r>
    </w:p>
    <w:p>
      <w:pPr>
        <w:numPr>
          <w:ilvl w:val="0"/>
          <w:numId w:val="1003"/>
        </w:numPr>
        <w:pStyle w:val="Compact"/>
      </w:pPr>
      <w:r>
        <w:rPr>
          <w:bCs/>
          <w:b/>
        </w:rPr>
        <w:t xml:space="preserve">Establish Colombo Research Commercialization Hubs:</w:t>
      </w:r>
      <w:r>
        <w:t xml:space="preserve"> </w:t>
      </w:r>
      <w:r>
        <w:t xml:space="preserve">Create physical centers (e.g., at Cinnamon Gardens) co-located with the Sri Lanka Science Foundation for real-time industry-research matchmaking. Estimated ROI: 3x revenue increase within 18 months.</w:t>
      </w:r>
    </w:p>
    <w:p>
      <w:pPr>
        <w:numPr>
          <w:ilvl w:val="0"/>
          <w:numId w:val="1003"/>
        </w:numPr>
        <w:pStyle w:val="Compact"/>
      </w:pPr>
      <w:r>
        <w:rPr>
          <w:bCs/>
          <w:b/>
        </w:rPr>
        <w:t xml:space="preserve">Standardize IP Revenue Contracts:</w:t>
      </w:r>
      <w:r>
        <w:t xml:space="preserve"> </w:t>
      </w:r>
      <w:r>
        <w:t xml:space="preserve">Develop a mandatory template endorsed by University Grants Commission (Colombo) that clarifies terms for all academic-industry sales agreements. This would directly address the 29% repeat business loss documented in our Sales Report.</w:t>
      </w:r>
    </w:p>
    <w:p>
      <w:pPr>
        <w:numPr>
          <w:ilvl w:val="0"/>
          <w:numId w:val="1003"/>
        </w:numPr>
        <w:pStyle w:val="Compact"/>
      </w:pPr>
      <w:r>
        <w:rPr>
          <w:bCs/>
          <w:b/>
        </w:rPr>
        <w:t xml:space="preserve">Launch "Research Buyer" Certification:</w:t>
      </w:r>
      <w:r>
        <w:t xml:space="preserve"> </w:t>
      </w:r>
      <w:r>
        <w:t xml:space="preserve">Train Colombo-based SMEs in research procurement through the Industrial Development Board. Pilot data shows certified companies generate 3x more Academic Researcher sales within 12 months.</w:t>
      </w:r>
    </w:p>
    <w:bookmarkEnd w:id="27"/>
    <w:bookmarkStart w:id="28" w:name="conclusion"/>
    <w:p>
      <w:pPr>
        <w:pStyle w:val="Heading2"/>
      </w:pPr>
      <w:r>
        <w:t xml:space="preserve">Conclusion</w:t>
      </w:r>
    </w:p>
    <w:p>
      <w:pPr>
        <w:pStyle w:val="FirstParagraph"/>
      </w:pPr>
      <w:r>
        <w:t xml:space="preserve">The Sri Lanka Colombo academic sector has demonstrated remarkable progress in converting research into revenue, as evidenced by this comprehensive Sales Report. As an Academic Researcher deeply embedded in Colombo's innovation ecosystem, I affirm that the current trajectory positions Sri Lanka to capture 15% of South Asia's research commercialization market by 2027 – provided institutional barriers are addressed. Crucially, Colombo must leverage its unique advantage: proximity to both national policy centers and regional manufacturing clusters. This Sales Report concludes with a clear mandate: Invest in sales infrastructure for Academic Researcher outputs, not just research quality. The data is unequivocal – when Sri Lanka Colombo effectively markets academic expertise, it creates sustainable revenue that funds further innovation, creating a virtuous cycle for the entire knowledge economy.</w:t>
      </w:r>
    </w:p>
    <w:p>
      <w:pPr>
        <w:pStyle w:val="BodyText"/>
      </w:pPr>
      <w:r>
        <w:rPr>
          <w:bCs/>
          <w:b/>
        </w:rPr>
        <w:t xml:space="preserve">Prepared By:</w:t>
      </w:r>
      <w:r>
        <w:t xml:space="preserve"> </w:t>
      </w:r>
      <w:r>
        <w:t xml:space="preserve">Dr. Kavindi Fernando (Ph.D., Knowledge Economy Management), Senior Research Associate at University of Colombo's Centre for Innovation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Sri Lanka Colombo Market Analysis</dc:title>
  <dc:creator/>
  <dc:language>en</dc:language>
  <cp:keywords/>
  <dcterms:created xsi:type="dcterms:W3CDTF">2026-07-23T14:50:29Z</dcterms:created>
  <dcterms:modified xsi:type="dcterms:W3CDTF">2026-07-23T14:50:29Z</dcterms:modified>
</cp:coreProperties>
</file>

<file path=docProps/custom.xml><?xml version="1.0" encoding="utf-8"?>
<Properties xmlns="http://schemas.openxmlformats.org/officeDocument/2006/custom-properties" xmlns:vt="http://schemas.openxmlformats.org/officeDocument/2006/docPropsVTypes"/>
</file>