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Sudan</w:t>
      </w:r>
      <w:r>
        <w:t xml:space="preserve"> </w:t>
      </w:r>
      <w:r>
        <w:t xml:space="preserve">Khartoum</w:t>
      </w:r>
    </w:p>
    <w:bookmarkStart w:id="27" w:name="Xf8cb407f8faa954be30554ea0487b4524a3cf4e"/>
    <w:p>
      <w:pPr>
        <w:pStyle w:val="Heading1"/>
      </w:pPr>
      <w:r>
        <w:t xml:space="preserve">Sales Report: Academic Researcher Performance and Market Engagement in Sudan Khartoum</w:t>
      </w:r>
    </w:p>
    <w:p>
      <w:pPr>
        <w:pStyle w:val="FirstParagraph"/>
      </w:pPr>
      <w:r>
        <w:rPr>
          <w:bCs/>
          <w:b/>
        </w:rPr>
        <w:t xml:space="preserve">Prepared For:</w:t>
      </w:r>
      <w:r>
        <w:t xml:space="preserve"> </w:t>
      </w:r>
      <w:r>
        <w:t xml:space="preserve">University of Khartoum Research Directorate &amp; Sudan National Academy of Sciences</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documents the commercialization achievements of Academic Researcher Dr. Amina Hassan at the University of Khartoum, Sudan Khartoum. The report details revenue streams generated through research-based services and intellectual property transactions within Sudan's academic ecosystem during Q3 2023. Key highlights include a 47% year-over-year increase in sales revenue from research consulting contracts, successful commercialization of drought-resistant crop technology, and strategic partnerships with Khartoum-based agricultural enterprises. The performance underscores how Academic Researcher roles can directly contribute to Sudan's economic development through market-driven innovation in Sudan Khartoum.</w:t>
      </w:r>
    </w:p>
    <w:bookmarkEnd w:id="20"/>
    <w:bookmarkStart w:id="21" w:name="ii.-sales-performance-overview"/>
    <w:p>
      <w:pPr>
        <w:pStyle w:val="Heading2"/>
      </w:pPr>
      <w:r>
        <w:t xml:space="preserve">II. Sales Performance Overview</w:t>
      </w:r>
    </w:p>
    <w:p>
      <w:pPr>
        <w:pStyle w:val="FirstParagraph"/>
      </w:pPr>
      <w:r>
        <w:t xml:space="preserve">The Academic Researcher's sales activities have evolved from traditional grant dependency to sustainable revenue generation through market-responsive research services. In Q3 2023, total sales revenue reached USD 184,500 across four core service lines:</w:t>
      </w:r>
    </w:p>
    <w:p>
      <w:pPr>
        <w:numPr>
          <w:ilvl w:val="0"/>
          <w:numId w:val="1001"/>
        </w:numPr>
        <w:pStyle w:val="Compact"/>
      </w:pPr>
      <w:r>
        <w:rPr>
          <w:bCs/>
          <w:b/>
        </w:rPr>
        <w:t xml:space="preserve">Consulting Services:</w:t>
      </w:r>
      <w:r>
        <w:t xml:space="preserve"> </w:t>
      </w:r>
      <w:r>
        <w:t xml:space="preserve">USD 98,200 (53% of total) – Including policy advisory for Khartoum Municipal Council on water management</w:t>
      </w:r>
    </w:p>
    <w:p>
      <w:pPr>
        <w:numPr>
          <w:ilvl w:val="0"/>
          <w:numId w:val="1001"/>
        </w:numPr>
        <w:pStyle w:val="Compact"/>
      </w:pPr>
      <w:r>
        <w:rPr>
          <w:bCs/>
          <w:b/>
        </w:rPr>
        <w:t xml:space="preserve">Tech Transfer Licensing:</w:t>
      </w:r>
      <w:r>
        <w:t xml:space="preserve"> </w:t>
      </w:r>
      <w:r>
        <w:t xml:space="preserve">USD 62,300 (34% of total) – License fees from "Nile-Resilient Wheat" patent to Sudanese agribusinesses</w:t>
      </w:r>
    </w:p>
    <w:p>
      <w:pPr>
        <w:pStyle w:val="FirstParagraph"/>
      </w:pPr>
      <w:r>
        <w:t xml:space="preserve">Notably, 89% of these sales originated from direct contracts within Sudan Khartoum, demonstrating the Academic Researcher's successful localization strategy. This contrasts with previous years where 65% of revenue came from international grants requiring external procurement.</w:t>
      </w:r>
    </w:p>
    <w:bookmarkEnd w:id="21"/>
    <w:bookmarkStart w:id="22" w:name="Xd617318c88eb5897346d8585c1dbd4e8f304b38"/>
    <w:p>
      <w:pPr>
        <w:pStyle w:val="Heading2"/>
      </w:pPr>
      <w:r>
        <w:t xml:space="preserve">III. Key Sales Achievements in Sudan Khartoum</w:t>
      </w:r>
    </w:p>
    <w:p>
      <w:pPr>
        <w:pStyle w:val="FirstParagraph"/>
      </w:pPr>
      <w:r>
        <w:rPr>
          <w:bCs/>
          <w:b/>
        </w:rPr>
        <w:t xml:space="preserve">1. Drought-Resistant Crop Commercialization (USD 62,300):</w:t>
      </w:r>
      <w:r>
        <w:t xml:space="preserve"> </w:t>
      </w:r>
      <w:r>
        <w:t xml:space="preserve">The Academic Researcher licensed patented crop technology developed at University of Khartoum to two major Sudanese agri-businesses (Sudan AgroTech and Nile Farms) in Khartoum. This resulted in 12,500 hectares of drought-tolerant wheat cultivation across Kordofan states – directly supporting Sudan's food security initiatives. The license agreement included performance-based royalties tied to crop yield improvements.</w:t>
      </w:r>
    </w:p>
    <w:p>
      <w:pPr>
        <w:pStyle w:val="BodyText"/>
      </w:pPr>
      <w:r>
        <w:rPr>
          <w:bCs/>
          <w:b/>
        </w:rPr>
        <w:t xml:space="preserve">2. Khartoum Municipal Advisory Contract (USD 38,700):</w:t>
      </w:r>
      <w:r>
        <w:t xml:space="preserve"> </w:t>
      </w:r>
      <w:r>
        <w:t xml:space="preserve">A landmark 12-month contract with Khartoum City Council for strategic water resource planning. The Academic Researcher's team delivered a customized digital dashboard tracking groundwater levels across the city – adopted as standard practice by municipal authorities. This represents Sudan Khartoum's first integrated urban water management system.</w:t>
      </w:r>
    </w:p>
    <w:p>
      <w:pPr>
        <w:pStyle w:val="BodyText"/>
      </w:pPr>
      <w:r>
        <w:rPr>
          <w:bCs/>
          <w:b/>
        </w:rPr>
        <w:t xml:space="preserve">3. University Partnership Expansion (USD 24,100):</w:t>
      </w:r>
      <w:r>
        <w:t xml:space="preserve"> </w:t>
      </w:r>
      <w:r>
        <w:t xml:space="preserve">Development of a new revenue-sharing model with three Sudanese universities (Khartoum, Omdurman Islamic, and Al Neelain). The Academic Researcher now provides specialized research methodologies for their faculty in exchange for a 25% share of generated consultancy fees – creating sustainable pipeline for future sales.</w:t>
      </w:r>
    </w:p>
    <w:bookmarkEnd w:id="22"/>
    <w:bookmarkStart w:id="23" w:name="X75824207897186fdd936559f2a26185f8f5245e"/>
    <w:p>
      <w:pPr>
        <w:pStyle w:val="Heading2"/>
      </w:pPr>
      <w:r>
        <w:t xml:space="preserve">IV. Challenges Specific to Sudan Khartoum Market</w:t>
      </w:r>
    </w:p>
    <w:p>
      <w:pPr>
        <w:pStyle w:val="FirstParagraph"/>
      </w:pPr>
      <w:r>
        <w:t xml:space="preserve">Despite strong performance, the Academic Researcher encountered market-specific obstacles requiring strategic adaptation:</w:t>
      </w:r>
    </w:p>
    <w:p>
      <w:pPr>
        <w:numPr>
          <w:ilvl w:val="0"/>
          <w:numId w:val="1002"/>
        </w:numPr>
        <w:pStyle w:val="Compact"/>
      </w:pPr>
      <w:r>
        <w:rPr>
          <w:bCs/>
          <w:b/>
        </w:rPr>
        <w:t xml:space="preserve">Currency Volatility:</w:t>
      </w:r>
      <w:r>
        <w:t xml:space="preserve"> </w:t>
      </w:r>
      <w:r>
        <w:t xml:space="preserve">17% revenue loss from USD-denominated contracts due to Sudanese Pound devaluation. Solution: Implemented 85% upfront payment terms for Khartoum-based clients.</w:t>
      </w:r>
    </w:p>
    <w:p>
      <w:pPr>
        <w:numPr>
          <w:ilvl w:val="0"/>
          <w:numId w:val="1002"/>
        </w:numPr>
        <w:pStyle w:val="Compact"/>
      </w:pPr>
      <w:r>
        <w:rPr>
          <w:bCs/>
          <w:b/>
        </w:rPr>
        <w:t xml:space="preserve">Bureaucratic Delays:</w:t>
      </w:r>
      <w:r>
        <w:t xml:space="preserve"> </w:t>
      </w:r>
      <w:r>
        <w:t xml:space="preserve">42-day average contract approval time with state institutions. Solution: Developed pre-vetted "Sudan Khartoum Compliance Kits" reducing negotiation cycles by 63%.</w:t>
      </w:r>
    </w:p>
    <w:bookmarkEnd w:id="23"/>
    <w:bookmarkStart w:id="24" w:name="X381aafb74536491c3ac52ecd484b7985145dfbb"/>
    <w:p>
      <w:pPr>
        <w:pStyle w:val="Heading2"/>
      </w:pPr>
      <w:r>
        <w:t xml:space="preserve">V. Strategic Recommendations for Academic Researcher Success in Sudan Khartoum</w:t>
      </w:r>
    </w:p>
    <w:p>
      <w:pPr>
        <w:pStyle w:val="FirstParagraph"/>
      </w:pPr>
      <w:r>
        <w:t xml:space="preserve">Based on Q3 performance, this Sales Report recommends three priority actions:</w:t>
      </w:r>
    </w:p>
    <w:p>
      <w:pPr>
        <w:numPr>
          <w:ilvl w:val="0"/>
          <w:numId w:val="1003"/>
        </w:numPr>
        <w:pStyle w:val="Compact"/>
      </w:pPr>
      <w:r>
        <w:rPr>
          <w:bCs/>
          <w:b/>
        </w:rPr>
        <w:t xml:space="preserve">Establish Khartoum Innovation Hubs:</w:t>
      </w:r>
      <w:r>
        <w:t xml:space="preserve"> </w:t>
      </w:r>
      <w:r>
        <w:t xml:space="preserve">Create physical co-working spaces at University of Khartoum for direct client engagement. This reduces travel time to Sudan Khartoum clients by 72% and increases sales conversion rates (currently 31% vs. national average of 19%).</w:t>
      </w:r>
    </w:p>
    <w:p>
      <w:pPr>
        <w:numPr>
          <w:ilvl w:val="0"/>
          <w:numId w:val="1003"/>
        </w:numPr>
        <w:pStyle w:val="Compact"/>
      </w:pPr>
      <w:r>
        <w:rPr>
          <w:bCs/>
          <w:b/>
        </w:rPr>
        <w:t xml:space="preserve">Develop Sudan-Specific IP Portfolio:</w:t>
      </w:r>
      <w:r>
        <w:t xml:space="preserve"> </w:t>
      </w:r>
      <w:r>
        <w:t xml:space="preserve">Focus on climate-resilient agriculture, water management, and renewable energy patents – sectors with highest local demand. Projected revenue increase: 28% by Q4 2024.</w:t>
      </w:r>
    </w:p>
    <w:bookmarkEnd w:id="24"/>
    <w:bookmarkStart w:id="25" w:name="vi.-future-sales-projections-q4-2023"/>
    <w:p>
      <w:pPr>
        <w:pStyle w:val="Heading2"/>
      </w:pPr>
      <w:r>
        <w:t xml:space="preserve">VI. Future Sales Projections (Q4 2023)</w:t>
      </w:r>
    </w:p>
    <w:p>
      <w:pPr>
        <w:pStyle w:val="FirstParagraph"/>
      </w:pPr>
      <w:r>
        <w:t xml:space="preserve">Conservative projections indicate USD 250,000 in sales revenue for Q4 – a 35% increase from Q3. This growth will be driven by:</w:t>
      </w:r>
    </w:p>
    <w:p>
      <w:pPr>
        <w:numPr>
          <w:ilvl w:val="0"/>
          <w:numId w:val="1004"/>
        </w:numPr>
        <w:pStyle w:val="Compact"/>
      </w:pPr>
      <w:r>
        <w:t xml:space="preserve">Three new contracts with Khartoum-based NGOs (water conservation sector)</w:t>
      </w:r>
    </w:p>
    <w:p>
      <w:pPr>
        <w:numPr>
          <w:ilvl w:val="0"/>
          <w:numId w:val="1004"/>
        </w:numPr>
        <w:pStyle w:val="Compact"/>
      </w:pPr>
      <w:r>
        <w:t xml:space="preserve">Expansion of Nile-Resilient Wheat licensing to Eastern Sudan</w:t>
      </w:r>
    </w:p>
    <w:p>
      <w:pPr>
        <w:numPr>
          <w:ilvl w:val="0"/>
          <w:numId w:val="1004"/>
        </w:numPr>
        <w:pStyle w:val="Compact"/>
      </w:pPr>
      <w:r>
        <w:t xml:space="preserve">New government tender for urban heat-mapping services in Sudan Khartoum</w:t>
      </w:r>
    </w:p>
    <w:p>
      <w:pPr>
        <w:pStyle w:val="FirstParagraph"/>
      </w:pPr>
      <w:r>
        <w:t xml:space="preserve">These projections are supported by a 43% increase in qualified leads generated through targeted networking at Khartoum Economic Forums.</w:t>
      </w:r>
    </w:p>
    <w:bookmarkEnd w:id="25"/>
    <w:bookmarkStart w:id="26" w:name="X64b3476ca19ba4e0f4f0e99f41e102a36a97fa6"/>
    <w:p>
      <w:pPr>
        <w:pStyle w:val="Heading2"/>
      </w:pPr>
      <w:r>
        <w:t xml:space="preserve">VII. Conclusion: The Strategic Value of Academic Researcher Sales Activities</w:t>
      </w:r>
    </w:p>
    <w:p>
      <w:pPr>
        <w:pStyle w:val="FirstParagraph"/>
      </w:pPr>
      <w:r>
        <w:t xml:space="preserve">This Sales Report demonstrates that Academic Researcher roles in Sudan Khartoum must transcend traditional scholarly functions to become revenue generators for institutional sustainability. Dr. Hassan's Q3 performance exemplifies how research-driven sales can directly address Sudan's most critical challenges – from food security to urban infrastructure – while creating self-sustaining academic ecosystems.</w:t>
      </w:r>
    </w:p>
    <w:p>
      <w:pPr>
        <w:pStyle w:val="BodyText"/>
      </w:pPr>
      <w:r>
        <w:t xml:space="preserve">The success in Sudan Khartoum proves that when Academic Researcher activities align with local market needs (rather than global grant priorities), they generate significant economic impact. The 35% quarter-over-quarter sales growth validates the commercial viability of this model within Sudan's unique socio-economic landscape. Crucially, these sales do not compromise academic integrity; instead, they create a virtuous cycle where market revenue funds further research that solves community problems – precisely the purpose of Academic Researcher work in Sudan Khartoum.</w:t>
      </w:r>
    </w:p>
    <w:p>
      <w:pPr>
        <w:pStyle w:val="BodyText"/>
      </w:pPr>
      <w:r>
        <w:t xml:space="preserve">As we move into Q4, the focus remains on deepening Sudan Khartoum partnerships while expanding the sales model across other academic institutions. This Sales Report confirms that the Academic Researcher role, when strategically commercialized within Sudan's context, is not just viable but essential for sustainable development in Khartoum and beyond.</w:t>
      </w:r>
    </w:p>
    <w:p>
      <w:pPr>
        <w:pStyle w:val="BodyText"/>
      </w:pPr>
      <w:r>
        <w:rPr>
          <w:iCs/>
          <w:i/>
        </w:rPr>
        <w:t xml:space="preserve">Prepared by: University of Khartoum Research Commercialization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Sudan Khartoum</dc:title>
  <dc:creator/>
  <dc:language>en</dc:language>
  <cp:keywords/>
  <dcterms:created xsi:type="dcterms:W3CDTF">2026-07-21T06:04:01Z</dcterms:created>
  <dcterms:modified xsi:type="dcterms:W3CDTF">2026-07-21T06:04:01Z</dcterms:modified>
</cp:coreProperties>
</file>

<file path=docProps/custom.xml><?xml version="1.0" encoding="utf-8"?>
<Properties xmlns="http://schemas.openxmlformats.org/officeDocument/2006/custom-properties" xmlns:vt="http://schemas.openxmlformats.org/officeDocument/2006/docPropsVTypes"/>
</file>