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ad43e7def9ceb81047b626b7b86acecc02ec3a"/>
    <w:p>
      <w:pPr>
        <w:pStyle w:val="Heading1"/>
      </w:pPr>
      <w:r>
        <w:t xml:space="preserve">Comprehensive Sales Report: Academic Researcher Market Analysis and Performance in Tanzania Dar es Salaam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Research Solutions Division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performance and strategic outlook for our academic research products within Tanzania's premier academic hub—Dar es Salaam. The quarter demonstrated exceptional growth (18.7% YoY) driven by targeted engagement with Academic Researchers across key institutions including University of Dar es Salaam (UDSM), Muhimbili University of Health and Allied Sciences (MUHAS), and Sokoine University of Agriculture (SUA). This document underscores how our solutions are uniquely positioned to address the evolving research ecosystem in Tanzania, with Dar es Salaam serving as the critical growth engine for our East African strategy.</w:t>
      </w:r>
    </w:p>
    <w:bookmarkEnd w:id="20"/>
    <w:bookmarkStart w:id="21" w:name="X7400ee360cebeb95372464478be4947ae720e53"/>
    <w:p>
      <w:pPr>
        <w:pStyle w:val="Heading2"/>
      </w:pPr>
      <w:r>
        <w:t xml:space="preserve">II. Market Context: Academic Researcher Landscape in Dar es Salaam</w:t>
      </w:r>
    </w:p>
    <w:p>
      <w:pPr>
        <w:pStyle w:val="FirstParagraph"/>
      </w:pPr>
      <w:r>
        <w:t xml:space="preserve">Tanzania's academic research sector is experiencing unprecedented momentum, with Dar es Salaam housing 68% of the nation's research institutions and 45,000+ active Academic Researchers. The city serves as Tanzania's intellectual capital where universities drive national priorities in health, agriculture, and climate resilience. Key challenges identified through our field surveys include limited access to specialized research tools (72% of Academic Researchers reported), funding constraints (63% of institutions face budget cuts), and digital infrastructure gaps (41%). This Sales Report confirms that Dar es Salaam represents a $1.8M annual market opportunity specifically for research solutions tailored to these pain points.</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Sales Volume (Q3)</w:t>
            </w:r>
          </w:p>
        </w:tc>
        <w:tc>
          <w:tcPr/>
          <w:p>
            <w:pPr>
              <w:pStyle w:val="Compact"/>
              <w:jc w:val="left"/>
            </w:pPr>
            <w:r>
              <w:t xml:space="preserve">% Growth vs Q2</w:t>
            </w:r>
          </w:p>
        </w:tc>
        <w:tc>
          <w:tcPr/>
          <w:p>
            <w:pPr>
              <w:pStyle w:val="Compact"/>
              <w:jc w:val="left"/>
            </w:pPr>
            <w:r>
              <w:t xml:space="preserve">Key Academic Researchers Targeted</w:t>
            </w:r>
          </w:p>
        </w:tc>
      </w:tr>
      <w:tr>
        <w:tc>
          <w:tcPr/>
          <w:p>
            <w:pPr>
              <w:pStyle w:val="Compact"/>
              <w:jc w:val="left"/>
            </w:pPr>
            <w:r>
              <w:t xml:space="preserve">Cloud-based Data Analysis Suite</w:t>
            </w:r>
          </w:p>
        </w:tc>
        <w:tc>
          <w:tcPr/>
          <w:p>
            <w:pPr>
              <w:pStyle w:val="Compact"/>
              <w:jc w:val="left"/>
            </w:pPr>
            <w:r>
              <w:t xml:space="preserve">47 licenses</w:t>
            </w:r>
          </w:p>
        </w:tc>
        <w:tc>
          <w:tcPr/>
          <w:p>
            <w:pPr>
              <w:pStyle w:val="Compact"/>
              <w:jc w:val="left"/>
            </w:pPr>
            <w:r>
              <w:t xml:space="preserve">+29%</w:t>
            </w:r>
          </w:p>
        </w:tc>
        <w:tc>
          <w:tcPr/>
          <w:p>
            <w:pPr>
              <w:pStyle w:val="Compact"/>
              <w:jc w:val="left"/>
            </w:pPr>
            <w:r>
              <w:t xml:space="preserve">University of Dar es Salaam (42%), MUHAS (38%)</w:t>
            </w:r>
          </w:p>
        </w:tc>
      </w:tr>
      <w:tr>
        <w:tc>
          <w:tcPr/>
          <w:p>
            <w:pPr>
              <w:pStyle w:val="Compact"/>
              <w:jc w:val="left"/>
            </w:pPr>
            <w:r>
              <w:t xml:space="preserve">Citation Management &amp; Collaboration Platform</w:t>
            </w:r>
          </w:p>
        </w:tc>
        <w:tc>
          <w:tcPr/>
          <w:p>
            <w:pPr>
              <w:pStyle w:val="Compact"/>
              <w:jc w:val="left"/>
            </w:pPr>
            <w:r>
              <w:t xml:space="preserve">32 institutions</w:t>
            </w:r>
          </w:p>
        </w:tc>
        <w:tc>
          <w:tcPr/>
          <w:p>
            <w:pPr>
              <w:pStyle w:val="Compact"/>
              <w:jc w:val="left"/>
            </w:pPr>
            <w:r>
              <w:t xml:space="preserve">+15%</w:t>
            </w:r>
          </w:p>
        </w:tc>
        <w:tc>
          <w:tcPr/>
          <w:p>
            <w:pPr>
              <w:pStyle w:val="Compact"/>
              <w:jc w:val="left"/>
            </w:pPr>
            <w:r>
              <w:t xml:space="preserve">Muhimbili University, Sokoine University, Arusha Institute</w:t>
            </w:r>
          </w:p>
        </w:tc>
      </w:tr>
      <w:tr>
        <w:tc>
          <w:tcPr/>
          <w:p>
            <w:pPr>
              <w:pStyle w:val="Compact"/>
              <w:jc w:val="left"/>
            </w:pPr>
            <w:r>
              <w:t xml:space="preserve">Field Research Data Collection Tools (Mobile)</w:t>
            </w:r>
          </w:p>
        </w:tc>
        <w:tc>
          <w:tcPr/>
          <w:p>
            <w:pPr>
              <w:pStyle w:val="Compact"/>
              <w:jc w:val="left"/>
            </w:pPr>
            <w:r>
              <w:t xml:space="preserve">89 devices</w:t>
            </w:r>
          </w:p>
        </w:tc>
        <w:tc>
          <w:tcPr/>
          <w:p>
            <w:pPr>
              <w:pStyle w:val="Compact"/>
              <w:jc w:val="left"/>
            </w:pPr>
            <w:r>
              <w:t xml:space="preserve">+37%</w:t>
            </w:r>
          </w:p>
        </w:tc>
        <w:tc>
          <w:tcPr/>
          <w:p>
            <w:pPr>
              <w:pStyle w:val="Compact"/>
              <w:jc w:val="left"/>
            </w:pPr>
            <w:r>
              <w:t xml:space="preserve">Rural health studies teams across Dar es Salaam region</w:t>
            </w:r>
          </w:p>
        </w:tc>
      </w:tr>
    </w:tbl>
    <w:p>
      <w:pPr>
        <w:pStyle w:val="BodyText"/>
      </w:pPr>
      <w:r>
        <w:rPr>
          <w:bCs/>
          <w:b/>
        </w:rPr>
        <w:t xml:space="preserve">Total Q3 Revenue:</w:t>
      </w:r>
      <w:r>
        <w:t xml:space="preserve"> </w:t>
      </w:r>
      <w:r>
        <w:t xml:space="preserve">$142,500 (18.7% above target) |</w:t>
      </w:r>
      <w:r>
        <w:t xml:space="preserve"> </w:t>
      </w:r>
      <w:r>
        <w:rPr>
          <w:bCs/>
          <w:b/>
        </w:rPr>
        <w:t xml:space="preserve">Customer Acquisition Cost (CAC):</w:t>
      </w:r>
      <w:r>
        <w:t xml:space="preserve"> </w:t>
      </w:r>
      <w:r>
        <w:t xml:space="preserve">$3,280 (below regional average of $4,150)</w:t>
      </w:r>
    </w:p>
    <w:bookmarkEnd w:id="22"/>
    <w:bookmarkStart w:id="23" w:name="iv.-key-success-drivers-in-dar-es-salaam"/>
    <w:p>
      <w:pPr>
        <w:pStyle w:val="Heading2"/>
      </w:pPr>
      <w:r>
        <w:t xml:space="preserve">IV. Key Success Drivers in Dar es Salaam</w:t>
      </w:r>
    </w:p>
    <w:p>
      <w:pPr>
        <w:pStyle w:val="FirstParagraph"/>
      </w:pPr>
      <w:r>
        <w:t xml:space="preserve">Our Sales Report identifies three pivotal factors behind this performance in Tanzania's academic market:</w:t>
      </w:r>
    </w:p>
    <w:p>
      <w:pPr>
        <w:numPr>
          <w:ilvl w:val="0"/>
          <w:numId w:val="1001"/>
        </w:numPr>
        <w:pStyle w:val="Compact"/>
      </w:pPr>
      <w:r>
        <w:rPr>
          <w:bCs/>
          <w:b/>
        </w:rPr>
        <w:t xml:space="preserve">Cultural Alignment:</w:t>
      </w:r>
      <w:r>
        <w:t xml:space="preserve"> </w:t>
      </w:r>
      <w:r>
        <w:t xml:space="preserve">Localized onboarding for Academic Researchers that respects Tanzanian research protocols (e.g., integrating Swahili-language support and aligning with TRC (Tanzania Commission for Science and Technology) guidelines). This approach increased adoption rates by 31% among Dar es Salaam-based researchers.</w:t>
      </w:r>
    </w:p>
    <w:p>
      <w:pPr>
        <w:numPr>
          <w:ilvl w:val="0"/>
          <w:numId w:val="1001"/>
        </w:numPr>
        <w:pStyle w:val="Compact"/>
      </w:pPr>
      <w:r>
        <w:rPr>
          <w:bCs/>
          <w:b/>
        </w:rPr>
        <w:t xml:space="preserve">University Partnership Strategy:</w:t>
      </w:r>
      <w:r>
        <w:t xml:space="preserve"> </w:t>
      </w:r>
      <w:r>
        <w:t xml:space="preserve">Direct contracts with UDSM's Research Management Office and MUHAS's Digital Innovation Unit. These partnerships facilitated bulk licensing for Academic Researchers at 25% discounts, securing 6 of the top 10 institutions in Dar es Salaam.</w:t>
      </w:r>
    </w:p>
    <w:p>
      <w:pPr>
        <w:numPr>
          <w:ilvl w:val="0"/>
          <w:numId w:val="1001"/>
        </w:numPr>
        <w:pStyle w:val="Compact"/>
      </w:pPr>
      <w:r>
        <w:rPr>
          <w:bCs/>
          <w:b/>
        </w:rPr>
        <w:t xml:space="preserve">Solution Relevance:</w:t>
      </w:r>
      <w:r>
        <w:t xml:space="preserve"> </w:t>
      </w:r>
      <w:r>
        <w:t xml:space="preserve">Our mobile field data tools were specifically adapted for Tanzania's low-connectivity environments (e.g., offline data capture during rural health surveys), directly addressing a critical pain point identified in our Academic Researcher feedback sessions.</w:t>
      </w:r>
    </w:p>
    <w:bookmarkEnd w:id="23"/>
    <w:bookmarkStart w:id="24" w:name="v.-challenges-strategic-insights"/>
    <w:p>
      <w:pPr>
        <w:pStyle w:val="Heading2"/>
      </w:pPr>
      <w:r>
        <w:t xml:space="preserve">V. Challenges &amp; Strategic Insights</w:t>
      </w:r>
    </w:p>
    <w:p>
      <w:pPr>
        <w:pStyle w:val="FirstParagraph"/>
      </w:pPr>
      <w:r>
        <w:t xml:space="preserve">Despite strong growth, this Sales Report reveals critical challenges requiring immediate action:</w:t>
      </w:r>
    </w:p>
    <w:p>
      <w:pPr>
        <w:numPr>
          <w:ilvl w:val="0"/>
          <w:numId w:val="1002"/>
        </w:numPr>
        <w:pStyle w:val="Compact"/>
      </w:pPr>
      <w:r>
        <w:rPr>
          <w:bCs/>
          <w:b/>
        </w:rPr>
        <w:t xml:space="preserve">Funding Fragmentation:</w:t>
      </w:r>
      <w:r>
        <w:t xml:space="preserve"> </w:t>
      </w:r>
      <w:r>
        <w:t xml:space="preserve">58% of Academic Researchers reported that institutional budgets allocate funds in quarterly cycles, creating sales cycle volatility. *Recommendation:* Develop flexible payment plans (e.g., semester-based billing) to align with university fiscal calendars.</w:t>
      </w:r>
    </w:p>
    <w:p>
      <w:pPr>
        <w:numPr>
          <w:ilvl w:val="0"/>
          <w:numId w:val="1002"/>
        </w:numPr>
        <w:pStyle w:val="Compact"/>
      </w:pPr>
      <w:r>
        <w:rPr>
          <w:bCs/>
          <w:b/>
        </w:rPr>
        <w:t xml:space="preserve">Digital Literacy Gaps:</w:t>
      </w:r>
      <w:r>
        <w:t xml:space="preserve"> </w:t>
      </w:r>
      <w:r>
        <w:t xml:space="preserve">While adoption is high, 34% of Academic Researchers require additional training on advanced features. *Recommendation:* Partner with UDSM's IT Department to embed our training modules into existing researcher onboarding programs.</w:t>
      </w:r>
    </w:p>
    <w:p>
      <w:pPr>
        <w:numPr>
          <w:ilvl w:val="0"/>
          <w:numId w:val="1002"/>
        </w:numPr>
        <w:pStyle w:val="Compact"/>
      </w:pPr>
      <w:r>
        <w:rPr>
          <w:bCs/>
          <w:b/>
        </w:rPr>
        <w:t xml:space="preserve">Competitive Pressure:</w:t>
      </w:r>
      <w:r>
        <w:t xml:space="preserve"> </w:t>
      </w:r>
      <w:r>
        <w:t xml:space="preserve">Local competitors offer cheaper solutions but lack integration with Tanzania's national research databases (e.g., TRC Registry). *Recommendation:* Accelerate partnerships with TRC for seamless data interoperability—a key differentiator for Dar es Salaam-based Academic Researchers.</w:t>
      </w:r>
    </w:p>
    <w:bookmarkEnd w:id="24"/>
    <w:bookmarkStart w:id="25" w:name="X9975bd59b6bee6d14a0cefd5f9361d0a47a75a2"/>
    <w:p>
      <w:pPr>
        <w:pStyle w:val="Heading2"/>
      </w:pPr>
      <w:r>
        <w:t xml:space="preserve">VI. Future Strategy: Scaling Impact in Tanzania Dar es Salaam</w:t>
      </w:r>
    </w:p>
    <w:p>
      <w:pPr>
        <w:pStyle w:val="FirstParagraph"/>
      </w:pPr>
      <w:r>
        <w:t xml:space="preserve">This Sales Report concludes that Tanzania's Academic Researcher market will drive 35% of our regional revenue by 2025. Our priority for H1 2024 includes:</w:t>
      </w:r>
    </w:p>
    <w:p>
      <w:pPr>
        <w:numPr>
          <w:ilvl w:val="0"/>
          <w:numId w:val="1003"/>
        </w:numPr>
        <w:pStyle w:val="Compact"/>
      </w:pPr>
      <w:r>
        <w:t xml:space="preserve">Launching a dedicated "Tanzania Research Innovation Hub" in Dar es Salaam, co-hosted with UDSM, to provide free workshops for Academic Researchers on grant writing and data utilization.</w:t>
      </w:r>
    </w:p>
    <w:p>
      <w:pPr>
        <w:numPr>
          <w:ilvl w:val="0"/>
          <w:numId w:val="1003"/>
        </w:numPr>
        <w:pStyle w:val="Compact"/>
      </w:pPr>
      <w:r>
        <w:t xml:space="preserve">Developing a low-bandwidth version of our platform optimized for Tanzania's 4G infrastructure (currently used by 76% of Dar es Salaam universities).</w:t>
      </w:r>
    </w:p>
    <w:p>
      <w:pPr>
        <w:numPr>
          <w:ilvl w:val="0"/>
          <w:numId w:val="1003"/>
        </w:numPr>
        <w:pStyle w:val="Compact"/>
      </w:pPr>
      <w:r>
        <w:t xml:space="preserve">Creating a referral program where Academic Researchers earn credits for successfully onboarded peers—leveraging Tanzania's strong academic community networks.</w:t>
      </w:r>
    </w:p>
    <w:bookmarkEnd w:id="25"/>
    <w:bookmarkStart w:id="26" w:name="Xc921c8e2eee794b3ad4df9a2f208b9e4e06613d"/>
    <w:p>
      <w:pPr>
        <w:pStyle w:val="Heading2"/>
      </w:pPr>
      <w:r>
        <w:t xml:space="preserve">VII. Conclusion: The Dar es Salaam Imperative</w:t>
      </w:r>
    </w:p>
    <w:p>
      <w:pPr>
        <w:pStyle w:val="FirstParagraph"/>
      </w:pPr>
      <w:r>
        <w:t xml:space="preserve">The data is unequivocal: Tanzania Dar es Salaam is not merely a market segment but the strategic heartbeat of our East African growth. With over 45,000 Academic Researchers actively shaping Tanzania's development agenda, our sales performance in this city directly impacts national research capacity. This Sales Report confirms that solutions designed *with* Dar es Salaam Academic Researchers—respecting local context, infrastructure realities, and institutional workflows—are the only path to sustainable market leadership.</w:t>
      </w:r>
    </w:p>
    <w:p>
      <w:pPr>
        <w:pStyle w:val="BodyText"/>
      </w:pPr>
      <w:r>
        <w:t xml:space="preserve">As one UDSM Academic Researcher noted: "Your platform didn't just save us time—it helped us submit a grant that secured funding for 200 rural health clinics." This sentiment defines our mission. By doubling down on Dar es Salaam as the epicenter of our academic researcher strategy, we will transform research productivity across Tanzania while achieving market dominance in East Africa's most dynamic academic ecosystem.</w:t>
      </w:r>
    </w:p>
    <w:p>
      <w:pPr>
        <w:pStyle w:val="BodyText"/>
      </w:pPr>
      <w:r>
        <w:rPr>
          <w:bCs/>
          <w:b/>
        </w:rPr>
        <w:t xml:space="preserve">Prepared By:</w:t>
      </w:r>
      <w:r>
        <w:t xml:space="preserve"> </w:t>
      </w:r>
      <w:r>
        <w:t xml:space="preserve">International Research Solutions Sales Analytics Team |</w:t>
      </w:r>
      <w:r>
        <w:t xml:space="preserve"> </w:t>
      </w:r>
      <w:r>
        <w:rPr>
          <w:bCs/>
          <w:b/>
        </w:rPr>
        <w:t xml:space="preserve">Contact:</w:t>
      </w:r>
      <w:r>
        <w:t xml:space="preserve"> </w:t>
      </w:r>
      <w:r>
        <w:t xml:space="preserve">dar.es.salaam@researchsolutions.com</w:t>
      </w:r>
    </w:p>
    <w:p>
      <w:pPr>
        <w:pStyle w:val="BodyText"/>
      </w:pPr>
      <w:r>
        <w:rPr>
          <w:iCs/>
          <w:i/>
        </w:rPr>
        <w:t xml:space="preserve">This Sales Report is confidential. Distribution restricted to authorized personnel of International Research Solutions. All data sourced from field surveys with Academic Researchers across 27 institutions in Dar es Salaam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in Tanzania Dar es Salaam</dc:title>
  <dc:creator/>
  <dc:language>en</dc:language>
  <cp:keywords/>
  <dcterms:created xsi:type="dcterms:W3CDTF">2026-07-24T05:01:01Z</dcterms:created>
  <dcterms:modified xsi:type="dcterms:W3CDTF">2026-07-24T05:01:01Z</dcterms:modified>
</cp:coreProperties>
</file>

<file path=docProps/custom.xml><?xml version="1.0" encoding="utf-8"?>
<Properties xmlns="http://schemas.openxmlformats.org/officeDocument/2006/custom-properties" xmlns:vt="http://schemas.openxmlformats.org/officeDocument/2006/docPropsVTypes"/>
</file>