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Engagement</w:t>
      </w:r>
      <w:r>
        <w:t xml:space="preserve"> </w:t>
      </w:r>
      <w:r>
        <w:t xml:space="preserve">Strategy</w:t>
      </w:r>
      <w:r>
        <w:t xml:space="preserve"> </w:t>
      </w:r>
      <w:r>
        <w:t xml:space="preserve">in</w:t>
      </w:r>
      <w:r>
        <w:t xml:space="preserve"> </w:t>
      </w:r>
      <w:r>
        <w:t xml:space="preserve">Turkey</w:t>
      </w:r>
      <w:r>
        <w:t xml:space="preserve"> </w:t>
      </w:r>
      <w:r>
        <w:t xml:space="preserve">Ankara</w:t>
      </w:r>
    </w:p>
    <w:bookmarkStart w:id="28" w:name="X0332dd2ff7c24524c2be9c1a992db8fabb732d1"/>
    <w:p>
      <w:pPr>
        <w:pStyle w:val="Heading1"/>
      </w:pPr>
      <w:r>
        <w:t xml:space="preserve">Sales Report: Strategic Market Expansion for Academic Researcher Solutions in Turkey Ankara</w:t>
      </w:r>
    </w:p>
    <w:p>
      <w:pPr>
        <w:pStyle w:val="FirstParagraph"/>
      </w:pPr>
      <w:r>
        <w:rPr>
          <w:bCs/>
          <w:b/>
        </w:rPr>
        <w:t xml:space="preserve">Prepared For:</w:t>
      </w:r>
      <w:r>
        <w:t xml:space="preserve"> </w:t>
      </w:r>
      <w:r>
        <w:t xml:space="preserve">Global Academic Solutions Division</w:t>
      </w:r>
      <w:r>
        <w:br/>
      </w:r>
      <w:r>
        <w:rPr>
          <w:bCs/>
          <w:b/>
        </w:rPr>
        <w:t xml:space="preserve">Date:</w:t>
      </w:r>
      <w:r>
        <w:t xml:space="preserve"> </w:t>
      </w:r>
      <w:r>
        <w:t xml:space="preserve">October 26, 2023</w:t>
      </w:r>
      <w:r>
        <w:br/>
      </w:r>
      <w:r>
        <w:rPr>
          <w:bCs/>
          <w:b/>
        </w:rPr>
        <w:t xml:space="preserve">Location:</w:t>
      </w:r>
      <w:r>
        <w:t xml:space="preserve"> </w:t>
      </w:r>
      <w:r>
        <w:t xml:space="preserve">Ankara, Turkey</w:t>
      </w:r>
      <w:r>
        <w:br/>
      </w:r>
      <w:r>
        <w:rPr>
          <w:bCs/>
          <w:b/>
        </w:rPr>
        <w:t xml:space="preserve">Distribution:</w:t>
      </w:r>
      <w:r>
        <w:t xml:space="preserve"> </w:t>
      </w:r>
      <w:r>
        <w:t xml:space="preserve">Executive Leadership, Sales Department, Product Development</w:t>
      </w:r>
    </w:p>
    <w:bookmarkStart w:id="20" w:name="i.-executive-summary"/>
    <w:p>
      <w:pPr>
        <w:pStyle w:val="Heading2"/>
      </w:pPr>
      <w:r>
        <w:t xml:space="preserve">I. Executive Summary</w:t>
      </w:r>
    </w:p>
    <w:p>
      <w:pPr>
        <w:pStyle w:val="FirstParagraph"/>
      </w:pPr>
      <w:r>
        <w:t xml:space="preserve">This Sales Report details the market penetration strategy and performance metrics for our academic research support solutions within Ankara’s premier educational ecosystem. As the capital of Turkey and a hub for higher education innovation, Ankara hosts over 40% of Turkey’s research institutions, including Middle East Technical University (METU), Hacettepe University, and Bilkent University. Our focus on</w:t>
      </w:r>
      <w:r>
        <w:t xml:space="preserve"> </w:t>
      </w:r>
      <w:r>
        <w:rPr>
          <w:bCs/>
          <w:b/>
        </w:rPr>
        <w:t xml:space="preserve">Academic Researcher</w:t>
      </w:r>
      <w:r>
        <w:t xml:space="preserve"> </w:t>
      </w:r>
      <w:r>
        <w:t xml:space="preserve">needs has yielded significant traction in this region. The report confirms a 37% year-over-year growth in service adoption among Ankara-based researchers since Q1 2023, driven by tailored solutions addressing local academic workflows and funding requirements.</w:t>
      </w:r>
    </w:p>
    <w:bookmarkEnd w:id="20"/>
    <w:bookmarkStart w:id="21" w:name="X64e572798b649186aa23217eb4092bafacc8402"/>
    <w:p>
      <w:pPr>
        <w:pStyle w:val="Heading2"/>
      </w:pPr>
      <w:r>
        <w:t xml:space="preserve">II. Market Analysis: Academic Researcher Landscape in Turkey Ankara</w:t>
      </w:r>
    </w:p>
    <w:p>
      <w:pPr>
        <w:pStyle w:val="FirstParagraph"/>
      </w:pPr>
      <w:r>
        <w:t xml:space="preserve">Ankara’s research sector is uniquely positioned due to its concentration of national research bodies (e.g., TÜBİTAK, ASKF) and federal policy alignment with the "Turkish National R&amp;D Strategy 2023-2030." Key insights include:</w:t>
      </w:r>
    </w:p>
    <w:p>
      <w:pPr>
        <w:numPr>
          <w:ilvl w:val="0"/>
          <w:numId w:val="1001"/>
        </w:numPr>
        <w:pStyle w:val="Compact"/>
      </w:pPr>
      <w:r>
        <w:rPr>
          <w:bCs/>
          <w:b/>
        </w:rPr>
        <w:t xml:space="preserve">Researcher Demographics:</w:t>
      </w:r>
      <w:r>
        <w:t xml:space="preserve"> </w:t>
      </w:r>
      <w:r>
        <w:t xml:space="preserve">18,500+ active Academic Researchers across Ankara’s universities, with 68% prioritizing grant acquisition support and data management solutions.</w:t>
      </w:r>
    </w:p>
    <w:p>
      <w:pPr>
        <w:numPr>
          <w:ilvl w:val="0"/>
          <w:numId w:val="1001"/>
        </w:numPr>
        <w:pStyle w:val="Compact"/>
      </w:pPr>
      <w:r>
        <w:rPr>
          <w:bCs/>
          <w:b/>
        </w:rPr>
        <w:t xml:space="preserve">Funding Trends:</w:t>
      </w:r>
      <w:r>
        <w:t xml:space="preserve"> </w:t>
      </w:r>
      <w:r>
        <w:t xml:space="preserve">TÜBİTAK grants allocated to Ankara institutions grew by 22% in 2023, creating demand for tools that streamline proposal submissions (e.g., our AI-assisted grant writing platform).</w:t>
      </w:r>
    </w:p>
    <w:p>
      <w:pPr>
        <w:numPr>
          <w:ilvl w:val="0"/>
          <w:numId w:val="1001"/>
        </w:numPr>
        <w:pStyle w:val="Compact"/>
      </w:pPr>
      <w:r>
        <w:rPr>
          <w:bCs/>
          <w:b/>
        </w:rPr>
        <w:t xml:space="preserve">Local Pain Points:</w:t>
      </w:r>
      <w:r>
        <w:t xml:space="preserve"> </w:t>
      </w:r>
      <w:r>
        <w:t xml:space="preserve">Researchers cited "time-intensive administrative tasks" and "limited access to interdisciplinary collaboration networks" as top barriers—addressed by our Ankara-specific service bundle.</w:t>
      </w:r>
    </w:p>
    <w:bookmarkEnd w:id="21"/>
    <w:bookmarkStart w:id="23" w:name="Xd6dfafced942728773eef96651afe2d67d27810"/>
    <w:p>
      <w:pPr>
        <w:pStyle w:val="Heading2"/>
      </w:pPr>
      <w:r>
        <w:t xml:space="preserve">III. Sales Performance: Key Metrics in Turkey Ankara</w:t>
      </w:r>
    </w:p>
    <w:p>
      <w:pPr>
        <w:pStyle w:val="FirstParagraph"/>
      </w:pPr>
      <w:r>
        <w:t xml:space="preserve">This quarter’s sales focus on Academic Researcher engagement achieved the following milestones:</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Academic Researcher Subscriptions (Ankara)</w:t>
      </w:r>
    </w:p>
    <w:p>
      <w:pPr>
        <w:pStyle w:val="BodyText"/>
      </w:pPr>
      <w:r>
        <w:t xml:space="preserve">1,487</w:t>
      </w:r>
    </w:p>
    <w:p>
      <w:pPr>
        <w:pStyle w:val="BodyText"/>
      </w:pPr>
      <w:r>
        <w:t xml:space="preserve">1,085</w:t>
      </w:r>
    </w:p>
    <w:p>
      <w:pPr>
        <w:pStyle w:val="BodyText"/>
      </w:pPr>
      <w:r>
        <w:t xml:space="preserve">+37.1%</w:t>
      </w:r>
    </w:p>
    <w:p>
      <w:pPr>
        <w:pStyle w:val="BodyText"/>
      </w:pPr>
      <w:r>
        <w:t xml:space="preserve">Average Contract Value (ACV)</w:t>
      </w:r>
    </w:p>
    <w:p>
      <w:pPr>
        <w:pStyle w:val="BodyText"/>
      </w:pPr>
      <w:r>
        <w:t xml:space="preserve">$2,850</w:t>
      </w:r>
    </w:p>
    <w:p>
      <w:pPr>
        <w:pStyle w:val="BodyText"/>
      </w:pPr>
      <w:r>
        <w:t xml:space="preserve">$2,410</w:t>
      </w:r>
    </w:p>
    <w:p>
      <w:pPr>
        <w:pStyle w:val="BodyText"/>
      </w:pPr>
      <w:r>
        <w:t xml:space="preserve">Customer Retention Rate</w:t>
      </w:r>
    </w:p>
    <w:p>
      <w:pPr>
        <w:pStyle w:val="BodyText"/>
      </w:pPr>
      <w:r>
        <w:t xml:space="preserve">92%</w:t>
      </w:r>
    </w:p>
    <w:p>
      <w:pPr>
        <w:pStyle w:val="BodyText"/>
      </w:pPr>
      <w:r>
        <w:t xml:space="preserve">+</w:t>
      </w:r>
    </w:p>
    <w:p>
      <w:pPr>
        <w:pStyle w:val="BodyText"/>
      </w:pPr>
      <w:r>
        <w:t xml:space="preserve">New University Partnerships Signed</w:t>
      </w:r>
    </w:p>
    <w:p>
      <w:pPr>
        <w:pStyle w:val="BodyText"/>
      </w:pPr>
      <w:r>
        <w:t xml:space="preserve">7 (including Ankara University’s Research Support Center)</w:t>
      </w:r>
    </w:p>
    <w:bookmarkStart w:id="22" w:name="geographic-breakdown-of-adoption"/>
    <w:p>
      <w:pPr>
        <w:pStyle w:val="Heading3"/>
      </w:pPr>
      <w:r>
        <w:t xml:space="preserve">Geographic Breakdown of Adoption:</w:t>
      </w:r>
    </w:p>
    <w:p>
      <w:pPr>
        <w:numPr>
          <w:ilvl w:val="0"/>
          <w:numId w:val="1002"/>
        </w:numPr>
        <w:pStyle w:val="Compact"/>
      </w:pPr>
      <w:r>
        <w:t xml:space="preserve">METU: 42% of total sales in Ankara (led by engineering and AI research groups)</w:t>
      </w:r>
    </w:p>
    <w:p>
      <w:pPr>
        <w:numPr>
          <w:ilvl w:val="0"/>
          <w:numId w:val="1002"/>
        </w:numPr>
        <w:pStyle w:val="Compact"/>
      </w:pPr>
      <w:r>
        <w:t xml:space="preserve">Hacettepe University: 28% (strong uptake in health sciences and medical research)</w:t>
      </w:r>
    </w:p>
    <w:p>
      <w:pPr>
        <w:numPr>
          <w:ilvl w:val="0"/>
          <w:numId w:val="1002"/>
        </w:numPr>
        <w:pStyle w:val="Compact"/>
      </w:pPr>
      <w:r>
        <w:t xml:space="preserve">Bilkent &amp; Others: 30% (growing interest from social sciences departments)</w:t>
      </w:r>
    </w:p>
    <w:bookmarkEnd w:id="22"/>
    <w:bookmarkEnd w:id="23"/>
    <w:bookmarkStart w:id="24" w:name="Xb272e596e8e8b08bb49485f3dd6c3a38ea83725"/>
    <w:p>
      <w:pPr>
        <w:pStyle w:val="Heading2"/>
      </w:pPr>
      <w:r>
        <w:t xml:space="preserve">IV. Sales Strategy Adaptation for Turkey Ankara</w:t>
      </w:r>
    </w:p>
    <w:p>
      <w:pPr>
        <w:pStyle w:val="FirstParagraph"/>
      </w:pPr>
      <w:r>
        <w:t xml:space="preserve">Our success stems from hyper-localized adaptation of solutions to Ankara’s academic context:</w:t>
      </w:r>
    </w:p>
    <w:p>
      <w:pPr>
        <w:numPr>
          <w:ilvl w:val="0"/>
          <w:numId w:val="1003"/>
        </w:numPr>
        <w:pStyle w:val="Compact"/>
      </w:pPr>
      <w:r>
        <w:rPr>
          <w:bCs/>
          <w:b/>
        </w:rPr>
        <w:t xml:space="preserve">Cultural Alignment:</w:t>
      </w:r>
      <w:r>
        <w:t xml:space="preserve"> </w:t>
      </w:r>
      <w:r>
        <w:t xml:space="preserve">All sales materials translated into Turkish; onboarding sessions conducted by Ankara-based bilingual account managers to build trust with Academic Researchers.</w:t>
      </w:r>
    </w:p>
    <w:p>
      <w:pPr>
        <w:numPr>
          <w:ilvl w:val="0"/>
          <w:numId w:val="1003"/>
        </w:numPr>
        <w:pStyle w:val="Compact"/>
      </w:pPr>
      <w:r>
        <w:rPr>
          <w:bCs/>
          <w:b/>
        </w:rPr>
        <w:t xml:space="preserve">Compliance Integration:</w:t>
      </w:r>
      <w:r>
        <w:t xml:space="preserve"> </w:t>
      </w:r>
      <w:r>
        <w:t xml:space="preserve">Solutions pre-configured to meet TÜBİTAK data sovereignty requirements and Turkish academic accreditation standards (e.g., YÖK guidelines).</w:t>
      </w:r>
    </w:p>
    <w:p>
      <w:pPr>
        <w:numPr>
          <w:ilvl w:val="0"/>
          <w:numId w:val="1003"/>
        </w:numPr>
        <w:pStyle w:val="Compact"/>
      </w:pPr>
      <w:r>
        <w:rPr>
          <w:bCs/>
          <w:b/>
        </w:rPr>
        <w:t xml:space="preserve">University Partnership Model:</w:t>
      </w:r>
      <w:r>
        <w:t xml:space="preserve"> </w:t>
      </w:r>
      <w:r>
        <w:t xml:space="preserve">Co-branded workshops at Ankara research symposiums (e.g., METU’s Annual Research Week) to demonstrate value through local case studies.</w:t>
      </w:r>
    </w:p>
    <w:bookmarkEnd w:id="24"/>
    <w:bookmarkStart w:id="25" w:name="Xf312f58e52ced85965adcb735c446338863a361"/>
    <w:p>
      <w:pPr>
        <w:pStyle w:val="Heading2"/>
      </w:pPr>
      <w:r>
        <w:t xml:space="preserve">V. Challenges &amp; Mitigation in Turkey Ankara</w:t>
      </w:r>
    </w:p>
    <w:p>
      <w:pPr>
        <w:pStyle w:val="FirstParagraph"/>
      </w:pPr>
      <w:r>
        <w:t xml:space="preserve">Key obstacles encountered and solutions deployed:</w:t>
      </w:r>
    </w:p>
    <w:p>
      <w:pPr>
        <w:pStyle w:val="BodyText"/>
      </w:pPr>
      <w:r>
        <w:t xml:space="preserve">Challenge</w:t>
      </w:r>
    </w:p>
    <w:p>
      <w:pPr>
        <w:pStyle w:val="BodyText"/>
      </w:pPr>
      <w:r>
        <w:t xml:space="preserve">Mitigation Strategy</w:t>
      </w:r>
    </w:p>
    <w:p>
      <w:pPr>
        <w:pStyle w:val="BodyText"/>
      </w:pPr>
      <w:r>
        <w:t xml:space="preserve">Limited Awareness of Digital Research Tools</w:t>
      </w:r>
    </w:p>
    <w:p>
      <w:pPr>
        <w:pStyle w:val="BodyText"/>
      </w:pPr>
      <w:r>
        <w:t xml:space="preserve">Launched "Ankara Researcher Tech Bootcamps" with free introductory modules, reaching 1,200+ Academic Researchers in Q3.</w:t>
      </w:r>
    </w:p>
    <w:p>
      <w:pPr>
        <w:pStyle w:val="BodyText"/>
      </w:pPr>
      <w:r>
        <w:t xml:space="preserve">Bureaucratic Procurement Cycles</w:t>
      </w:r>
    </w:p>
    <w:p>
      <w:pPr>
        <w:pStyle w:val="BodyText"/>
      </w:pPr>
      <w:r>
        <w:t xml:space="preserve">Partnered with Ankara University’s IT Department to streamline bulk licensing approvals (reduced contract timelines by 40%).</w:t>
      </w:r>
    </w:p>
    <w:p>
      <w:pPr>
        <w:pStyle w:val="BodyText"/>
      </w:pPr>
      <w:r>
        <w:t xml:space="preserve">Currency Volatility Impacting Pricing</w:t>
      </w:r>
    </w:p>
    <w:p>
      <w:pPr>
        <w:pStyle w:val="BodyText"/>
      </w:pPr>
      <w:r>
        <w:rPr>
          <w:bCs/>
          <w:b/>
        </w:rPr>
        <w:t xml:space="preserve">Solution:</w:t>
      </w:r>
      <w:r>
        <w:t xml:space="preserve"> </w:t>
      </w:r>
      <w:r>
        <w:t xml:space="preserve">Introduced tiered pricing in TRY with annual fixed-rate options, increasing uptake by 28%.</w:t>
      </w:r>
    </w:p>
    <w:bookmarkEnd w:id="25"/>
    <w:bookmarkStart w:id="26" w:name="X2645a714096b7fb7b4c4c7e0d3930fa40bdfd92"/>
    <w:p>
      <w:pPr>
        <w:pStyle w:val="Heading2"/>
      </w:pPr>
      <w:r>
        <w:t xml:space="preserve">VI. Future Outlook: Sustainable Growth in Turkey Ankara</w:t>
      </w:r>
    </w:p>
    <w:p>
      <w:pPr>
        <w:pStyle w:val="FirstParagraph"/>
      </w:pPr>
      <w:r>
        <w:t xml:space="preserve">Based on Q3 data, we project 50%+ growth in Academic Researcher subscriptions across Ankara by Q1 2024 through:</w:t>
      </w:r>
    </w:p>
    <w:p>
      <w:pPr>
        <w:numPr>
          <w:ilvl w:val="0"/>
          <w:numId w:val="1004"/>
        </w:numPr>
        <w:pStyle w:val="Compact"/>
      </w:pPr>
      <w:r>
        <w:rPr>
          <w:bCs/>
          <w:b/>
        </w:rPr>
        <w:t xml:space="preserve">New Product Integration:</w:t>
      </w:r>
      <w:r>
        <w:t xml:space="preserve"> </w:t>
      </w:r>
      <w:r>
        <w:t xml:space="preserve">Launching "Ankara Research Network" platform (November 2023), enabling real-time collaboration between METU, Hacettepe, and TÜBİTAK teams.</w:t>
      </w:r>
    </w:p>
    <w:p>
      <w:pPr>
        <w:numPr>
          <w:ilvl w:val="0"/>
          <w:numId w:val="1004"/>
        </w:numPr>
        <w:pStyle w:val="Compact"/>
      </w:pPr>
      <w:r>
        <w:rPr>
          <w:bCs/>
          <w:b/>
        </w:rPr>
        <w:t xml:space="preserve">Government Partnership Expansion:</w:t>
      </w:r>
      <w:r>
        <w:t xml:space="preserve"> </w:t>
      </w:r>
      <w:r>
        <w:t xml:space="preserve">Negotiating a framework agreement with the Ministry of National Education for nationwide rollout, anchored in Ankara’s research ecosystem.</w:t>
      </w:r>
    </w:p>
    <w:p>
      <w:pPr>
        <w:numPr>
          <w:ilvl w:val="0"/>
          <w:numId w:val="1004"/>
        </w:numPr>
        <w:pStyle w:val="Compact"/>
      </w:pPr>
      <w:r>
        <w:rPr>
          <w:bCs/>
          <w:b/>
        </w:rPr>
        <w:t xml:space="preserve">Sustainability Focus:</w:t>
      </w:r>
      <w:r>
        <w:t xml:space="preserve"> </w:t>
      </w:r>
      <w:r>
        <w:t xml:space="preserve">Developing tools to help Academic Researchers meet Turkey’s new ESG reporting standards for funded projects—addressing 74% of researcher survey requests.</w:t>
      </w:r>
    </w:p>
    <w:bookmarkEnd w:id="26"/>
    <w:bookmarkStart w:id="27" w:name="vii.-conclusion"/>
    <w:p>
      <w:pPr>
        <w:pStyle w:val="Heading2"/>
      </w:pPr>
      <w:r>
        <w:t xml:space="preserve">VII. Conclusion</w:t>
      </w:r>
    </w:p>
    <w:p>
      <w:pPr>
        <w:pStyle w:val="FirstParagraph"/>
      </w:pPr>
      <w:r>
        <w:t xml:space="preserve">This Sales Report affirms that strategic investment in Ankara’s Academic Researcher community delivers exceptional ROI. The Turkish capital’s unique concentration of research institutions, coupled with government-backed innovation initiatives, has positioned it as our most promising market for academic solutions. Crucially, the term "Academic Researcher" is not merely a demographic—it defines our product philosophy: every feature developed in this Sales Report serves the specific workflow challenges of researchers in Turkey Ankara. As we scale operations across Ankara’s university clusters, we remain committed to embedding local insights into our service design.</w:t>
      </w:r>
    </w:p>
    <w:p>
      <w:pPr>
        <w:pStyle w:val="BodyText"/>
      </w:pPr>
      <w:r>
        <w:t xml:space="preserve">Recommendation: Allocate 35% of Q4 sales budget to deepen partnerships with Ankara’s top 3 research centers (METU, Hacettepe, Bilkent), prioritizing co-development of solutions for Turkey’s national R&amp;D goals. This approach ensures sustained growth while reinforcing our brand as the indispensable partner for Academic Researchers in Turkey Ankara.</w:t>
      </w:r>
    </w:p>
    <w:p>
      <w:pPr>
        <w:pStyle w:val="BodyText"/>
      </w:pPr>
      <w:r>
        <w:rPr>
          <w:bCs/>
          <w:b/>
        </w:rPr>
        <w:t xml:space="preserve">Prepared By:</w:t>
      </w:r>
      <w:r>
        <w:t xml:space="preserve"> </w:t>
      </w:r>
      <w:r>
        <w:t xml:space="preserve">Global Academic Solutions Sales Division</w:t>
      </w:r>
      <w:r>
        <w:br/>
      </w:r>
      <w:r>
        <w:rPr>
          <w:bCs/>
          <w:b/>
        </w:rPr>
        <w:t xml:space="preserve">Contact:</w:t>
      </w:r>
      <w:r>
        <w:t xml:space="preserve"> </w:t>
      </w:r>
      <w:r>
        <w:t xml:space="preserve">ankara.sales@globalresearchsupport.com | +90 312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Engagement Strategy in Turkey Ankara</dc:title>
  <dc:creator/>
  <cp:keywords/>
  <dcterms:created xsi:type="dcterms:W3CDTF">2026-07-23T09:16:39Z</dcterms:created>
  <dcterms:modified xsi:type="dcterms:W3CDTF">2026-07-23T09:16:39Z</dcterms:modified>
</cp:coreProperties>
</file>

<file path=docProps/custom.xml><?xml version="1.0" encoding="utf-8"?>
<Properties xmlns="http://schemas.openxmlformats.org/officeDocument/2006/custom-properties" xmlns:vt="http://schemas.openxmlformats.org/officeDocument/2006/docPropsVTypes"/>
</file>