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Performance</w:t>
      </w:r>
      <w:r>
        <w:t xml:space="preserve"> </w:t>
      </w:r>
      <w:r>
        <w:t xml:space="preserve">in</w:t>
      </w:r>
      <w:r>
        <w:t xml:space="preserve"> </w:t>
      </w:r>
      <w:r>
        <w:t xml:space="preserve">Turkey</w:t>
      </w:r>
      <w:r>
        <w:t xml:space="preserve"> </w:t>
      </w:r>
      <w:r>
        <w:t xml:space="preserve">Istanbul</w:t>
      </w:r>
    </w:p>
    <w:bookmarkStart w:id="33" w:name="X8568f453912bf37c79190cfdf84c424cc1d45c6"/>
    <w:p>
      <w:pPr>
        <w:pStyle w:val="Heading1"/>
      </w:pPr>
      <w:r>
        <w:t xml:space="preserve">Sales Report: Academic Researcher Performance in Turkey Istanbul</w:t>
      </w:r>
    </w:p>
    <w:p>
      <w:pPr>
        <w:pStyle w:val="FirstParagraph"/>
      </w:pPr>
      <w:r>
        <w:rPr>
          <w:bCs/>
          <w:b/>
        </w:rPr>
        <w:t xml:space="preserve">Report Period:</w:t>
      </w:r>
      <w:r>
        <w:t xml:space="preserve"> </w:t>
      </w:r>
      <w:r>
        <w:t xml:space="preserve">January 2023 – December 2023</w:t>
      </w:r>
      <w:r>
        <w:br/>
      </w:r>
      <w:r>
        <w:rPr>
          <w:bCs/>
          <w:b/>
        </w:rPr>
        <w:t xml:space="preserve">Prepared For:</w:t>
      </w:r>
      <w:r>
        <w:t xml:space="preserve"> </w:t>
      </w:r>
      <w:r>
        <w:t xml:space="preserve">University of Istanbul Research Development Office</w:t>
      </w:r>
      <w:r>
        <w:br/>
      </w:r>
      <w:r>
        <w:rPr>
          <w:bCs/>
          <w:b/>
        </w:rPr>
        <w:t xml:space="preserve">Date Prepared:</w:t>
      </w:r>
      <w:r>
        <w:t xml:space="preserve"> </w:t>
      </w:r>
      <w:r>
        <w:t xml:space="preserve">February 15, 2024</w:t>
      </w:r>
    </w:p>
    <w:bookmarkStart w:id="20" w:name="i.-executive-summary"/>
    <w:p>
      <w:pPr>
        <w:pStyle w:val="Heading2"/>
      </w:pPr>
      <w:r>
        <w:t xml:space="preserve">I. Executive Summary</w:t>
      </w:r>
    </w:p>
    <w:p>
      <w:pPr>
        <w:pStyle w:val="FirstParagraph"/>
      </w:pPr>
      <w:r>
        <w:t xml:space="preserve">This comprehensive Sales Report details the commercialization performance of Academic Researchers within the Istanbul metropolitan region during the fiscal year 2023. As Turkey's academic and innovation hub, Istanbul houses over 75% of national research centers where Academic Researchers have demonstrated significant revenue generation through knowledge transfer initiatives. The report reveals a remarkable 38% year-over-year increase in sales performance metrics, driven by strategic partnerships between Istanbul-based universities and industry players. This success underscores the evolving role of Academic Researchers as critical sales engines for Turkey's knowledge economy, particularly within Istanbul's dynamic research ecosystem.</w:t>
      </w:r>
    </w:p>
    <w:bookmarkEnd w:id="20"/>
    <w:bookmarkStart w:id="21" w:name="X00757ea96848e33bf621db4d1c77fe77b3eec6e"/>
    <w:p>
      <w:pPr>
        <w:pStyle w:val="Heading2"/>
      </w:pPr>
      <w:r>
        <w:t xml:space="preserve">II. Market Context: Research Commercialization in Turkey Istanbul</w:t>
      </w:r>
    </w:p>
    <w:p>
      <w:pPr>
        <w:pStyle w:val="FirstParagraph"/>
      </w:pPr>
      <w:r>
        <w:t xml:space="preserve">Istanbul serves as the epicenter of academic-industrial collaboration in Turkey, hosting 47 major universities including Bogazici University, Koc University, and Istanbul Technical University. The city's research commercialization market grew to ₺14.8 billion (≈$560 million) in 2023, with Academic Researchers generating 68% of this revenue through patent licensing, consultancy services, and joint R&amp;D projects. Notably, Istanbul accounts for 73% of Turkey's total research commercialization sales – a statistic that positions our city as the nation's undisputed innovation capital.</w:t>
      </w:r>
    </w:p>
    <w:p>
      <w:pPr>
        <w:pStyle w:val="BodyText"/>
      </w:pPr>
      <w:r>
        <w:t xml:space="preserve">Key market drivers include:</w:t>
      </w:r>
    </w:p>
    <w:p>
      <w:pPr>
        <w:numPr>
          <w:ilvl w:val="0"/>
          <w:numId w:val="1001"/>
        </w:numPr>
        <w:pStyle w:val="Compact"/>
      </w:pPr>
      <w:r>
        <w:t xml:space="preserve">The Turkish Ministry of Industry's 2021 "Innovation Acceleration Program" providing 35% tax incentives for university-industry collaborations</w:t>
      </w:r>
    </w:p>
    <w:p>
      <w:pPr>
        <w:numPr>
          <w:ilvl w:val="0"/>
          <w:numId w:val="1001"/>
        </w:numPr>
        <w:pStyle w:val="Compact"/>
      </w:pPr>
      <w:r>
        <w:t xml:space="preserve">Istanbul's strategic location bridging Europe and Asia, attracting multinational R&amp;D centers (e.g., Bosch, Siemens) seeking local research partnerships</w:t>
      </w:r>
    </w:p>
    <w:p>
      <w:pPr>
        <w:numPr>
          <w:ilvl w:val="0"/>
          <w:numId w:val="1001"/>
        </w:numPr>
        <w:pStyle w:val="Compact"/>
      </w:pPr>
      <w:r>
        <w:t xml:space="preserve">University Technology Transfer Offices (TTOs) in Istanbul now operating with dedicated sales teams focused on Academic Researcher engagement</w:t>
      </w:r>
    </w:p>
    <w:bookmarkEnd w:id="21"/>
    <w:bookmarkStart w:id="22" w:name="X608c434f7d2299cc90cb860ff753a4a2f58b3e2"/>
    <w:p>
      <w:pPr>
        <w:pStyle w:val="Heading2"/>
      </w:pPr>
      <w:r>
        <w:t xml:space="preserve">III. Sales Performance Metrics: Academic Researcher Contribution</w:t>
      </w:r>
    </w:p>
    <w:p>
      <w:pPr>
        <w:pStyle w:val="FirstParagraph"/>
      </w:pPr>
      <w:r>
        <w:t xml:space="preserve">The report analyzes 147 active Academic Researchers across Istanbul's university system, revealing transformative sales patterns:</w:t>
      </w:r>
    </w:p>
    <w:p>
      <w:pPr>
        <w:pStyle w:val="BodyText"/>
      </w:pPr>
      <w:r>
        <w:t xml:space="preserve">Performance Indicator</w:t>
      </w:r>
    </w:p>
    <w:p>
      <w:pPr>
        <w:pStyle w:val="BodyText"/>
      </w:pPr>
      <w:r>
        <w:t xml:space="preserve">2022 Value</w:t>
      </w:r>
    </w:p>
    <w:p>
      <w:pPr>
        <w:pStyle w:val="BodyText"/>
      </w:pPr>
      <w:r>
        <w:t xml:space="preserve">2023 Value</w:t>
      </w:r>
    </w:p>
    <w:p>
      <w:pPr>
        <w:pStyle w:val="BodyText"/>
      </w:pPr>
      <w:r>
        <w:t xml:space="preserve">YoY Change</w:t>
      </w:r>
    </w:p>
    <w:p>
      <w:pPr>
        <w:pStyle w:val="BodyText"/>
      </w:pPr>
      <w:r>
        <w:t xml:space="preserve">Average Revenue Per Academic Researcher (₺)</w:t>
      </w:r>
    </w:p>
    <w:p>
      <w:pPr>
        <w:pStyle w:val="BodyText"/>
      </w:pPr>
      <w:r>
        <w:t xml:space="preserve">1,480,000</w:t>
      </w:r>
    </w:p>
    <w:p>
      <w:pPr>
        <w:pStyle w:val="BodyText"/>
      </w:pPr>
      <w:r>
        <w:t xml:space="preserve">2,575,300</w:t>
      </w:r>
    </w:p>
    <w:p>
      <w:pPr>
        <w:pStyle w:val="BodyText"/>
      </w:pPr>
      <w:r>
        <w:t xml:space="preserve">+74.1%</w:t>
      </w:r>
    </w:p>
    <w:p>
      <w:pPr>
        <w:pStyle w:val="BodyText"/>
      </w:pPr>
      <w:r>
        <w:t xml:space="preserve">Consulting Contracts Secured</w:t>
      </w:r>
    </w:p>
    <w:p>
      <w:pPr>
        <w:pStyle w:val="BodyText"/>
      </w:pPr>
      <w:r>
        <w:t xml:space="preserve">182</w:t>
      </w:r>
    </w:p>
    <w:p>
      <w:pPr>
        <w:pStyle w:val="BodyText"/>
      </w:pPr>
      <w:r>
        <w:t xml:space="preserve">319</w:t>
      </w:r>
    </w:p>
    <w:p>
      <w:pPr>
        <w:pStyle w:val="BodyText"/>
      </w:pPr>
      <w:r>
        <w:t xml:space="preserve">&lt;</w:t>
      </w:r>
    </w:p>
    <w:p>
      <w:pPr>
        <w:pStyle w:val="BodyText"/>
      </w:pPr>
      <w:r>
        <w:t xml:space="preserve">+76.4%</w:t>
      </w:r>
    </w:p>
    <w:p>
      <w:pPr>
        <w:pStyle w:val="BodyText"/>
      </w:pPr>
      <w:r>
        <w:t xml:space="preserve">Patent Licensing Revenue (₺)</w:t>
      </w:r>
    </w:p>
    <w:p>
      <w:pPr>
        <w:pStyle w:val="BodyText"/>
      </w:pPr>
      <w:r>
        <w:t xml:space="preserve">86.3M</w:t>
      </w:r>
    </w:p>
    <w:p>
      <w:pPr>
        <w:pStyle w:val="BodyText"/>
      </w:pPr>
      <w:r>
        <w:t xml:space="preserve">Industry Collaborative Projects</w:t>
      </w:r>
    </w:p>
    <w:p>
      <w:pPr>
        <w:pStyle w:val="BodyText"/>
      </w:pPr>
      <w:r>
        <w:t xml:space="preserve">98</w:t>
      </w:r>
    </w:p>
    <w:p>
      <w:pPr>
        <w:pStyle w:val="BodyText"/>
      </w:pPr>
      <w:r>
        <w:t xml:space="preserve">187</w:t>
      </w:r>
    </w:p>
    <w:p>
      <w:pPr>
        <w:pStyle w:val="BodyText"/>
      </w:pPr>
      <w:r>
        <w:t xml:space="preserve">&lt;</w:t>
      </w:r>
    </w:p>
    <w:p>
      <w:pPr>
        <w:pStyle w:val="BodyText"/>
      </w:pPr>
      <w:r>
        <w:t xml:space="preserve">+90.8%</w:t>
      </w:r>
    </w:p>
    <w:p>
      <w:pPr>
        <w:pStyle w:val="BodyText"/>
      </w:pPr>
      <w:r>
        <w:t xml:space="preserve">Notable achievements include Dr. Ayşe Yılmaz (Istanbul Technical University) securing a ₺42M contract with Vestel for smart manufacturing R&amp;D, and Professor Mehmet Karabulut (Boğaziçi University) generating ₺18.3M through AI patent licensing to Turkcell. These cases exemplify how Istanbul's Academic Researchers are becoming strategic sales assets rather than traditional researchers.</w:t>
      </w:r>
    </w:p>
    <w:bookmarkEnd w:id="22"/>
    <w:bookmarkStart w:id="26" w:name="Xda6c8ecb7b20ad23b5017b4bba07fd6ff9f1803"/>
    <w:p>
      <w:pPr>
        <w:pStyle w:val="Heading2"/>
      </w:pPr>
      <w:r>
        <w:t xml:space="preserve">IV. Success Factors in Istanbul's Research Sales Ecosystem</w:t>
      </w:r>
    </w:p>
    <w:p>
      <w:pPr>
        <w:pStyle w:val="FirstParagraph"/>
      </w:pPr>
      <w:r>
        <w:t xml:space="preserve">The exceptional sales performance stems from three interconnected pillars unique to Turkey Istanbul:</w:t>
      </w:r>
    </w:p>
    <w:bookmarkStart w:id="23" w:name="a.-institutional-sales-infrastructure"/>
    <w:p>
      <w:pPr>
        <w:pStyle w:val="Heading3"/>
      </w:pPr>
      <w:r>
        <w:t xml:space="preserve">A. Institutional Sales Infrastructure</w:t>
      </w:r>
    </w:p>
    <w:p>
      <w:pPr>
        <w:pStyle w:val="FirstParagraph"/>
      </w:pPr>
      <w:r>
        <w:t xml:space="preserve">Istanbul universities have pioneered dedicated "Research Commercialization Units" (RCUs) staffed by sales professionals who work directly with Academic Researchers. For example, Koç University's RCU has a 1:50 researcher-to-sales-agent ratio – far exceeding the national average of 1:200. This model converts academic expertise into marketable solutions through structured sales processes.</w:t>
      </w:r>
    </w:p>
    <w:bookmarkEnd w:id="23"/>
    <w:bookmarkStart w:id="24" w:name="Xb82c77be493c9541631acd66480cf95510b5769"/>
    <w:p>
      <w:pPr>
        <w:pStyle w:val="Heading3"/>
      </w:pPr>
      <w:r>
        <w:t xml:space="preserve">B. Cultural Adaptation to Turkish Business Practices</w:t>
      </w:r>
    </w:p>
    <w:p>
      <w:pPr>
        <w:pStyle w:val="FirstParagraph"/>
      </w:pPr>
      <w:r>
        <w:t xml:space="preserve">Successful Academic Researchers in Istanbul master Turkey's distinctive sales culture, including:</w:t>
      </w:r>
    </w:p>
    <w:p>
      <w:pPr>
        <w:numPr>
          <w:ilvl w:val="0"/>
          <w:numId w:val="1002"/>
        </w:numPr>
        <w:pStyle w:val="Compact"/>
      </w:pPr>
      <w:r>
        <w:t xml:space="preserve">Understanding "İltimasa" (relationship-building) protocols before closing deals</w:t>
      </w:r>
    </w:p>
    <w:p>
      <w:pPr>
        <w:numPr>
          <w:ilvl w:val="0"/>
          <w:numId w:val="1002"/>
        </w:numPr>
        <w:pStyle w:val="Compact"/>
      </w:pPr>
      <w:r>
        <w:t xml:space="preserve">Adapting research proposals to align with Turkey's National Industrial Strategy 2023-2030</w:t>
      </w:r>
    </w:p>
    <w:p>
      <w:pPr>
        <w:numPr>
          <w:ilvl w:val="0"/>
          <w:numId w:val="1002"/>
        </w:numPr>
        <w:pStyle w:val="Compact"/>
      </w:pPr>
      <w:r>
        <w:t xml:space="preserve">Utilizing Istanbul's central location for face-to-face meetings with both domestic (Ankara, Izmir) and international (Germany, UAE) partners</w:t>
      </w:r>
    </w:p>
    <w:bookmarkEnd w:id="24"/>
    <w:bookmarkStart w:id="25" w:name="c.-strategic-market-positioning"/>
    <w:p>
      <w:pPr>
        <w:pStyle w:val="Heading3"/>
      </w:pPr>
      <w:r>
        <w:t xml:space="preserve">C. Strategic Market Positioning</w:t>
      </w:r>
    </w:p>
    <w:p>
      <w:pPr>
        <w:pStyle w:val="FirstParagraph"/>
      </w:pPr>
      <w:r>
        <w:t xml:space="preserve">Istanbul-based Academic Researchers excel by positioning their work within Turkey's priority sectors:</w:t>
      </w:r>
    </w:p>
    <w:p>
      <w:pPr>
        <w:numPr>
          <w:ilvl w:val="0"/>
          <w:numId w:val="1003"/>
        </w:numPr>
        <w:pStyle w:val="Compact"/>
      </w:pPr>
      <w:r>
        <w:t xml:space="preserve">Renewable Energy: 28% of sales (e.g., solar tech from Istanbul University)</w:t>
      </w:r>
    </w:p>
    <w:p>
      <w:pPr>
        <w:numPr>
          <w:ilvl w:val="0"/>
          <w:numId w:val="1003"/>
        </w:numPr>
        <w:pStyle w:val="Compact"/>
      </w:pPr>
      <w:r>
        <w:t xml:space="preserve">Mobility &amp; Transportation: 24% of sales (e.g., autonomous vehicle research)</w:t>
      </w:r>
    </w:p>
    <w:p>
      <w:pPr>
        <w:numPr>
          <w:ilvl w:val="0"/>
          <w:numId w:val="1003"/>
        </w:numPr>
        <w:pStyle w:val="Compact"/>
      </w:pPr>
      <w:r>
        <w:t xml:space="preserve">HealthTech: 31% of sales (e.g., AI diagnostics tools developed at Marmara University)</w:t>
      </w:r>
    </w:p>
    <w:bookmarkEnd w:id="25"/>
    <w:bookmarkEnd w:id="26"/>
    <w:bookmarkStart w:id="30" w:name="Xfa471ca9ad4184ab8cb83dcfb1e4adfa8a19b88"/>
    <w:p>
      <w:pPr>
        <w:pStyle w:val="Heading2"/>
      </w:pPr>
      <w:r>
        <w:t xml:space="preserve">V. Challenges and Strategic Recommendations</w:t>
      </w:r>
    </w:p>
    <w:p>
      <w:pPr>
        <w:pStyle w:val="FirstParagraph"/>
      </w:pPr>
      <w:r>
        <w:t xml:space="preserve">Despite remarkable growth, three critical challenges require immediate attention for sustained success:</w:t>
      </w:r>
    </w:p>
    <w:bookmarkStart w:id="27" w:name="sales-capability-gap"/>
    <w:p>
      <w:pPr>
        <w:pStyle w:val="Heading3"/>
      </w:pPr>
      <w:r>
        <w:t xml:space="preserve">1. Sales Capability Gap</w:t>
      </w:r>
    </w:p>
    <w:p>
      <w:pPr>
        <w:pStyle w:val="FirstParagraph"/>
      </w:pPr>
      <w:r>
        <w:t xml:space="preserve">Only 41% of Academic Researchers in Istanbul receive formal sales training. Recommendation: Implement mandatory quarterly "Sales for Researchers" workshops at all Istanbul universities, with Turkish business case studies.</w:t>
      </w:r>
    </w:p>
    <w:bookmarkEnd w:id="27"/>
    <w:bookmarkStart w:id="28" w:name="intellectual-property-management"/>
    <w:p>
      <w:pPr>
        <w:pStyle w:val="Heading3"/>
      </w:pPr>
      <w:r>
        <w:t xml:space="preserve">2. Intellectual Property Management</w:t>
      </w:r>
    </w:p>
    <w:p>
      <w:pPr>
        <w:pStyle w:val="FirstParagraph"/>
      </w:pPr>
      <w:r>
        <w:t xml:space="preserve">Delayed patent filings reduced potential revenue by ₺78M in 2023. Recommendation: Integrate IP management into university tenure evaluations and establish Istanbul-specific patent fast-track systems.</w:t>
      </w:r>
    </w:p>
    <w:bookmarkEnd w:id="28"/>
    <w:bookmarkStart w:id="29" w:name="cross-regional-collaboration-barriers"/>
    <w:p>
      <w:pPr>
        <w:pStyle w:val="Heading3"/>
      </w:pPr>
      <w:r>
        <w:t xml:space="preserve">3. Cross-Regional Collaboration Barriers</w:t>
      </w:r>
    </w:p>
    <w:p>
      <w:pPr>
        <w:pStyle w:val="FirstParagraph"/>
      </w:pPr>
      <w:r>
        <w:t xml:space="preserve">Istanbul researchers report difficulties securing contracts with non-Istanbul industries due to geographic bias. Recommendation: Create a "Turkey-wide Research Sales Network" with Istanbul as the central hub, featuring virtual deal rooms for nationwide access.</w:t>
      </w:r>
    </w:p>
    <w:bookmarkEnd w:id="29"/>
    <w:bookmarkEnd w:id="30"/>
    <w:bookmarkStart w:id="31" w:name="X8bc99b1a12d85b6b8dac97b6a6eac507657eb54"/>
    <w:p>
      <w:pPr>
        <w:pStyle w:val="Heading2"/>
      </w:pPr>
      <w:r>
        <w:t xml:space="preserve">VI. Future Outlook: 2024–2026 Strategic Targets</w:t>
      </w:r>
    </w:p>
    <w:p>
      <w:pPr>
        <w:pStyle w:val="FirstParagraph"/>
      </w:pPr>
      <w:r>
        <w:t xml:space="preserve">Based on current momentum, Istanbul's Academic Researchers are positioned to achieve:</w:t>
      </w:r>
    </w:p>
    <w:p>
      <w:pPr>
        <w:numPr>
          <w:ilvl w:val="0"/>
          <w:numId w:val="1004"/>
        </w:numPr>
        <w:pStyle w:val="Compact"/>
      </w:pPr>
      <w:r>
        <w:rPr>
          <w:bCs/>
          <w:b/>
        </w:rPr>
        <w:t xml:space="preserve">₺35 billion total research commercialization revenue by 2026</w:t>
      </w:r>
      <w:r>
        <w:t xml:space="preserve"> </w:t>
      </w:r>
      <w:r>
        <w:t xml:space="preserve">(a 137% increase from 2023)</w:t>
      </w:r>
    </w:p>
    <w:p>
      <w:pPr>
        <w:numPr>
          <w:ilvl w:val="0"/>
          <w:numId w:val="1004"/>
        </w:numPr>
        <w:pStyle w:val="Compact"/>
      </w:pPr>
      <w:r>
        <w:rPr>
          <w:bCs/>
          <w:b/>
        </w:rPr>
        <w:t xml:space="preserve">50% of Turkish national R&amp;D sales generated within Istanbul metropolitan area</w:t>
      </w:r>
    </w:p>
    <w:p>
      <w:pPr>
        <w:numPr>
          <w:ilvl w:val="0"/>
          <w:numId w:val="1004"/>
        </w:numPr>
        <w:pStyle w:val="Compact"/>
      </w:pPr>
      <w:r>
        <w:rPr>
          <w:bCs/>
          <w:b/>
        </w:rPr>
        <w:t xml:space="preserve">New sales channels:</w:t>
      </w:r>
      <w:r>
        <w:t xml:space="preserve"> </w:t>
      </w:r>
      <w:r>
        <w:t xml:space="preserve">AI-driven research matching platforms, blockchain-based royalty tracking systems</w:t>
      </w:r>
    </w:p>
    <w:p>
      <w:pPr>
        <w:pStyle w:val="FirstParagraph"/>
      </w:pPr>
      <w:r>
        <w:t xml:space="preserve">The 2024 roadmap includes establishing a "Research Sales Accelerator" in Istanbul's new Innovation District (Kadıköy), specifically designed to connect Academic Researchers with international buyers. This initiative will leverage Turkey's recent free trade agreements with EU and GCC nations to expand market access.</w:t>
      </w:r>
    </w:p>
    <w:bookmarkEnd w:id="31"/>
    <w:bookmarkStart w:id="32" w:name="vii.-conclusion"/>
    <w:p>
      <w:pPr>
        <w:pStyle w:val="Heading2"/>
      </w:pPr>
      <w:r>
        <w:t xml:space="preserve">VII. Conclusion</w:t>
      </w:r>
    </w:p>
    <w:p>
      <w:pPr>
        <w:pStyle w:val="FirstParagraph"/>
      </w:pPr>
      <w:r>
        <w:t xml:space="preserve">This Sales Report confirms that Academic Researchers in Turkey Istanbul have evolved from knowledge generators to critical revenue drivers for the national economy. Their performance demonstrates how academic excellence, when strategically aligned with market needs through robust sales processes, becomes a catalyst for regional prosperity. As Istanbul continues to solidify its position as Turkey's innovation capital, Academic Researchers must remain at the forefront of this commercialization revolution – not merely as researchers, but as expert sales professionals who bridge academia and industry. The data is unequivocal: When Academic Researchers engage in targeted sales activities within Istanbul's dynamic ecosystem, the entire Turkish research enterprise achieves exponential growth.</w:t>
      </w:r>
    </w:p>
    <w:p>
      <w:pPr>
        <w:pStyle w:val="BodyText"/>
      </w:pPr>
      <w:r>
        <w:rPr>
          <w:bCs/>
          <w:b/>
        </w:rPr>
        <w:t xml:space="preserve">Prepared by:</w:t>
      </w:r>
      <w:r>
        <w:t xml:space="preserve"> </w:t>
      </w:r>
      <w:r>
        <w:t xml:space="preserve">Research Commercialization Analytics Team</w:t>
      </w:r>
      <w:r>
        <w:br/>
      </w:r>
      <w:r>
        <w:rPr>
          <w:bCs/>
          <w:b/>
        </w:rPr>
        <w:t xml:space="preserve">University of Istanbul Innovation Division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Performance in Turkey Istanbul</dc:title>
  <dc:creator/>
  <dc:language>en</dc:language>
  <cp:keywords/>
  <dcterms:created xsi:type="dcterms:W3CDTF">2025-12-11T10:39:33Z</dcterms:created>
  <dcterms:modified xsi:type="dcterms:W3CDTF">2025-12-11T10:39:33Z</dcterms:modified>
</cp:coreProperties>
</file>

<file path=docProps/custom.xml><?xml version="1.0" encoding="utf-8"?>
<Properties xmlns="http://schemas.openxmlformats.org/officeDocument/2006/custom-properties" xmlns:vt="http://schemas.openxmlformats.org/officeDocument/2006/docPropsVTypes"/>
</file>