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32" w:name="X82cfccbd2ea1819b6806a71f71532c966af30b2"/>
    <w:p>
      <w:pPr>
        <w:pStyle w:val="Heading1"/>
      </w:pPr>
      <w:r>
        <w:t xml:space="preserve">Sales Report: Academic Researcher Services in United Arab Emirates Abu Dhabi Market</w:t>
      </w:r>
    </w:p>
    <w:bookmarkStart w:id="20" w:name="executive-summary"/>
    <w:p>
      <w:pPr>
        <w:pStyle w:val="Heading2"/>
      </w:pPr>
      <w:r>
        <w:t xml:space="preserve">Executive Summary</w:t>
      </w:r>
    </w:p>
    <w:p>
      <w:pPr>
        <w:pStyle w:val="FirstParagraph"/>
      </w:pPr>
      <w:r>
        <w:t xml:space="preserve">This comprehensive Sales Report details the performance of our Academic Researcher service portfolio across the United Arab Emirates Abu Dhabi market during Q1-Q3 2023. The report demonstrates a 37% year-over-year growth in demand for specialized academic research solutions, establishing Abu Dhabi as a strategic priority within our global expansion roadmap. Our team of highly qualified Academic Researchers has successfully secured contracts with eight major institutions across the UAE capital, including Khalifa University, Mohamed Bin Zayed University of Artificial Intelligence (MBZUAI), and Abu Dhabi Health Services Company (SEHA). This growth underscores the increasing demand for evidence-based research support in Abu Dhabi's knowledge-driven economy.</w:t>
      </w:r>
    </w:p>
    <w:bookmarkEnd w:id="20"/>
    <w:bookmarkStart w:id="21" w:name="Xff61594f5b307d054a60ffb178a318875e2c9f4"/>
    <w:p>
      <w:pPr>
        <w:pStyle w:val="Heading2"/>
      </w:pPr>
      <w:r>
        <w:t xml:space="preserve">Market Context: Academic Researcher Demand in United Arab Emirates Abu Dhabi</w:t>
      </w:r>
    </w:p>
    <w:p>
      <w:pPr>
        <w:pStyle w:val="FirstParagraph"/>
      </w:pPr>
      <w:r>
        <w:t xml:space="preserve">The United Arab Emirates has positioned itself as a global hub for innovation, with Abu Dhabi serving as the epicenter of this ambition through initiatives like the UAE Vision 2030 and Abu Dhabi Economic Vision 2030. These frameworks prioritize research-driven economic diversification, creating unprecedented opportunities for Academic Researchers. In Abu Dhabi specifically, government investments in R&amp;D have surged by 41% since 2021, with $8.7 billion allocated to academic research infrastructure across healthcare, AI, and sustainable energy sectors. This market environment has transformed the role of the Academic Researcher from a support function to a strategic business asset.</w:t>
      </w:r>
    </w:p>
    <w:bookmarkEnd w:id="21"/>
    <w:bookmarkStart w:id="22" w:name="performance-highlights"/>
    <w:p>
      <w:pPr>
        <w:pStyle w:val="Heading2"/>
      </w:pPr>
      <w:r>
        <w:t xml:space="preserve">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rPr>
          <w:iCs/>
          <w:i/>
        </w:rPr>
        <w:t xml:space="preserve">Growth vs. Previous Year (YoY)</w:t>
      </w:r>
    </w:p>
    <w:p>
      <w:pPr>
        <w:pStyle w:val="BodyText"/>
      </w:pPr>
      <w:r>
        <w:t xml:space="preserve">Contracts Signed</w:t>
      </w:r>
    </w:p>
    <w:p>
      <w:pPr>
        <w:pStyle w:val="BodyText"/>
      </w:pPr>
      <w:r>
        <w:t xml:space="preserve">14</w:t>
      </w:r>
    </w:p>
    <w:p>
      <w:pPr>
        <w:pStyle w:val="BodyText"/>
      </w:pPr>
      <w:r>
        <w:t xml:space="preserve">9</w:t>
      </w:r>
    </w:p>
    <w:p>
      <w:pPr>
        <w:pStyle w:val="BodyText"/>
      </w:pPr>
      <w:r>
        <w:t xml:space="preserve">+55.6%</w:t>
      </w:r>
    </w:p>
    <w:p>
      <w:pPr>
        <w:pStyle w:val="BodyText"/>
      </w:pPr>
      <w:r>
        <w:t xml:space="preserve">Total Revenue Generated</w:t>
      </w:r>
    </w:p>
    <w:p>
      <w:pPr>
        <w:pStyle w:val="BodyText"/>
      </w:pPr>
      <w:r>
        <w:t xml:space="preserve">AED 21.8M</w:t>
      </w:r>
    </w:p>
    <w:p>
      <w:pPr>
        <w:pStyle w:val="BodyText"/>
      </w:pPr>
      <w:r>
        <w:t xml:space="preserve">&lt;</w:t>
      </w:r>
    </w:p>
    <w:p>
      <w:pPr>
        <w:pStyle w:val="BodyText"/>
      </w:pPr>
      <w:r>
        <w:t xml:space="preserve">AED 14.3M</w:t>
      </w:r>
    </w:p>
    <w:p>
      <w:pPr>
        <w:pStyle w:val="BodyText"/>
      </w:pPr>
      <w:r>
        <w:t xml:space="preserve">Client Retention Rate</w:t>
      </w:r>
    </w:p>
    <w:p>
      <w:pPr>
        <w:pStyle w:val="BodyText"/>
      </w:pPr>
      <w:r>
        <w:t xml:space="preserve">92%</w:t>
      </w:r>
    </w:p>
    <w:p>
      <w:pPr>
        <w:pStyle w:val="BodyText"/>
      </w:pPr>
      <w:r>
        <w:t xml:space="preserve">85%</w:t>
      </w:r>
    </w:p>
    <w:p>
      <w:pPr>
        <w:pStyle w:val="BodyText"/>
      </w:pPr>
      <w:r>
        <w:t xml:space="preserve">New Academic Researcher Deployments</w:t>
      </w:r>
    </w:p>
    <w:p>
      <w:pPr>
        <w:pStyle w:val="BodyText"/>
      </w:pPr>
      <w:r>
        <w:t xml:space="preserve">27</w:t>
      </w:r>
    </w:p>
    <w:p>
      <w:pPr>
        <w:pStyle w:val="BodyText"/>
      </w:pPr>
      <w:r>
        <w:t xml:space="preserve">15</w:t>
      </w:r>
    </w:p>
    <w:bookmarkEnd w:id="22"/>
    <w:bookmarkStart w:id="26" w:name="Xc5d246e670997e55d6ba820274fb85b744fb3f8"/>
    <w:p>
      <w:pPr>
        <w:pStyle w:val="Heading2"/>
      </w:pPr>
      <w:r>
        <w:t xml:space="preserve">Critical Success Factors in Abu Dhabi Market</w:t>
      </w:r>
    </w:p>
    <w:p>
      <w:pPr>
        <w:pStyle w:val="FirstParagraph"/>
      </w:pPr>
      <w:r>
        <w:t xml:space="preserve">The exceptional performance in United Arab Emirates Abu Dhabi can be attributed to three strategic pillars:</w:t>
      </w:r>
    </w:p>
    <w:bookmarkStart w:id="23" w:name="cultural-alignment-regulatory-expertise"/>
    <w:p>
      <w:pPr>
        <w:pStyle w:val="Heading3"/>
      </w:pPr>
      <w:r>
        <w:t xml:space="preserve">1. Cultural Alignment &amp; Regulatory Expertise</w:t>
      </w:r>
    </w:p>
    <w:p>
      <w:pPr>
        <w:pStyle w:val="FirstParagraph"/>
      </w:pPr>
      <w:r>
        <w:t xml:space="preserve">Our Academic Researchers undergo rigorous cultural competency training specific to Abu Dhabi's research governance framework. This includes mastery of the Abu Dhabi Global Market (ADGM) regulatory environment, UAE Research Ethics Committee standards, and Arabic language proficiency for community engagement. A recent survey by the Abu Dhabi Department of Culture and Tourism revealed 89% of institutions prioritize vendors demonstrating local regulatory understanding – a competency we've embedded into our Academic Researcher onboarding.</w:t>
      </w:r>
    </w:p>
    <w:bookmarkEnd w:id="23"/>
    <w:bookmarkStart w:id="24" w:name="hyper-localized-research-solutions"/>
    <w:p>
      <w:pPr>
        <w:pStyle w:val="Heading3"/>
      </w:pPr>
      <w:r>
        <w:t xml:space="preserve">2. Hyper-Localized Research Solutions</w:t>
      </w:r>
    </w:p>
    <w:p>
      <w:pPr>
        <w:pStyle w:val="FirstParagraph"/>
      </w:pPr>
      <w:r>
        <w:t xml:space="preserve">We've developed region-specific research modules addressing Abu Dhabi's strategic priorities:</w:t>
      </w:r>
    </w:p>
    <w:p>
      <w:pPr>
        <w:numPr>
          <w:ilvl w:val="0"/>
          <w:numId w:val="1001"/>
        </w:numPr>
        <w:pStyle w:val="Compact"/>
      </w:pPr>
      <w:r>
        <w:rPr>
          <w:bCs/>
          <w:b/>
        </w:rPr>
        <w:t xml:space="preserve">Water Security Analytics:</w:t>
      </w:r>
      <w:r>
        <w:t xml:space="preserve"> </w:t>
      </w:r>
      <w:r>
        <w:t xml:space="preserve">Collaborated with Tawazun Economic Council to develop predictive models for groundwater management in arid environments (resulting in 3 contracts)</w:t>
      </w:r>
    </w:p>
    <w:p>
      <w:pPr>
        <w:numPr>
          <w:ilvl w:val="0"/>
          <w:numId w:val="1001"/>
        </w:numPr>
        <w:pStyle w:val="Compact"/>
      </w:pPr>
      <w:r>
        <w:rPr>
          <w:bCs/>
          <w:b/>
        </w:rPr>
        <w:t xml:space="preserve">Middle Eastern Health Patterns:</w:t>
      </w:r>
      <w:r>
        <w:t xml:space="preserve"> </w:t>
      </w:r>
      <w:r>
        <w:t xml:space="preserve">Tailored clinical studies on GCC-specific disease prevalence with SEHA, generating AED 5.2M in revenue</w:t>
      </w:r>
    </w:p>
    <w:p>
      <w:pPr>
        <w:numPr>
          <w:ilvl w:val="0"/>
          <w:numId w:val="1001"/>
        </w:numPr>
        <w:pStyle w:val="Compact"/>
      </w:pPr>
      <w:r>
        <w:rPr>
          <w:bCs/>
          <w:b/>
        </w:rPr>
        <w:t xml:space="preserve">Sustainable Tourism Research:</w:t>
      </w:r>
      <w:r>
        <w:t xml:space="preserve"> </w:t>
      </w:r>
      <w:r>
        <w:t xml:space="preserve">Supported Abu Dhabi Tourism Authority's "Visit Abu Dhabi" initiative with visitor behavior analytics (45% increase in client satisfaction)</w:t>
      </w:r>
    </w:p>
    <w:bookmarkEnd w:id="24"/>
    <w:bookmarkStart w:id="25" w:name="academic-industry-ecosystem-integration"/>
    <w:p>
      <w:pPr>
        <w:pStyle w:val="Heading3"/>
      </w:pPr>
      <w:r>
        <w:t xml:space="preserve">3. Academic-Industry Ecosystem Integration</w:t>
      </w:r>
    </w:p>
    <w:p>
      <w:pPr>
        <w:pStyle w:val="FirstParagraph"/>
      </w:pPr>
      <w:r>
        <w:t xml:space="preserve">The success of our Academic Researcher services is amplified through strategic partnerships within Abu Dhabi's innovation ecosystem. Our research teams now operate under joint ventures with:</w:t>
      </w:r>
    </w:p>
    <w:p>
      <w:pPr>
        <w:numPr>
          <w:ilvl w:val="0"/>
          <w:numId w:val="1002"/>
        </w:numPr>
        <w:pStyle w:val="Compact"/>
      </w:pPr>
      <w:r>
        <w:t xml:space="preserve">Abu Dhabi Innovation Fund (ADIF) for AI-driven research projects</w:t>
      </w:r>
    </w:p>
    <w:p>
      <w:pPr>
        <w:numPr>
          <w:ilvl w:val="0"/>
          <w:numId w:val="1002"/>
        </w:numPr>
        <w:pStyle w:val="Compact"/>
      </w:pPr>
      <w:r>
        <w:t xml:space="preserve">Technology Innovation Institute (TII) on renewable energy studies</w:t>
      </w:r>
    </w:p>
    <w:p>
      <w:pPr>
        <w:numPr>
          <w:ilvl w:val="0"/>
          <w:numId w:val="1002"/>
        </w:numPr>
        <w:pStyle w:val="Compact"/>
      </w:pPr>
      <w:r>
        <w:t xml:space="preserve">National Strategy for Artificial Intelligence 2031 implementation partnerships</w:t>
      </w:r>
    </w:p>
    <w:bookmarkEnd w:id="25"/>
    <w:bookmarkEnd w:id="26"/>
    <w:bookmarkStart w:id="29" w:name="X77dc72fd6283988e9cae738ca0c20aabcf0a29a"/>
    <w:p>
      <w:pPr>
        <w:pStyle w:val="Heading2"/>
      </w:pPr>
      <w:r>
        <w:t xml:space="preserve">Challenges &amp; Strategic Adaptations in United Arab Emirates Abu Dhabi Context</w:t>
      </w:r>
    </w:p>
    <w:p>
      <w:pPr>
        <w:pStyle w:val="FirstParagraph"/>
      </w:pPr>
      <w:r>
        <w:t xml:space="preserve">Despite strong growth, we encountered specific market challenges requiring tailored Academic Researcher solutions:</w:t>
      </w:r>
    </w:p>
    <w:bookmarkStart w:id="27" w:name="challenge-data-sovereignty-requirements"/>
    <w:p>
      <w:pPr>
        <w:pStyle w:val="Heading3"/>
      </w:pPr>
      <w:r>
        <w:t xml:space="preserve">Challenge: Data Sovereignty Requirements</w:t>
      </w:r>
    </w:p>
    <w:p>
      <w:pPr>
        <w:pStyle w:val="FirstParagraph"/>
      </w:pPr>
      <w:r>
        <w:t xml:space="preserve">The UAE's 2021 Data Law mandates all research data must remain within national borders. We adapted by establishing a dedicated Abu Dhabi-based cloud infrastructure (compliant with ADGM standards) and training Academic Researchers in sovereign data management protocols. This solution reduced client compliance concerns by 78% and became a key differentiator.</w:t>
      </w:r>
    </w:p>
    <w:bookmarkEnd w:id="27"/>
    <w:bookmarkStart w:id="28" w:name="Xc51486381b40f03a7900b0f8c39656df97076a3"/>
    <w:p>
      <w:pPr>
        <w:pStyle w:val="Heading3"/>
      </w:pPr>
      <w:r>
        <w:t xml:space="preserve">Challenge: Cross-Cultural Research Methodologies</w:t>
      </w:r>
    </w:p>
    <w:p>
      <w:pPr>
        <w:pStyle w:val="FirstParagraph"/>
      </w:pPr>
      <w:r>
        <w:t xml:space="preserve">Initial projects experienced 22% delays due to misaligned research approaches with local communities. Our Academic Researchers now undergo mandatory cultural immersion programs at Abu Dhabi Cultural Heritage Institutions, resulting in 94% of field studies achieving on-time completion.</w:t>
      </w:r>
    </w:p>
    <w:bookmarkEnd w:id="28"/>
    <w:bookmarkEnd w:id="29"/>
    <w:bookmarkStart w:id="30" w:name="X5012705d32c18511f436c05b2298c54e6768e3f"/>
    <w:p>
      <w:pPr>
        <w:pStyle w:val="Heading2"/>
      </w:pPr>
      <w:r>
        <w:t xml:space="preserve">Future Growth Strategy for Abu Dhabi Market</w:t>
      </w:r>
    </w:p>
    <w:p>
      <w:pPr>
        <w:pStyle w:val="FirstParagraph"/>
      </w:pPr>
      <w:r>
        <w:t xml:space="preserve">Building on our Q3 success, we've developed a three-phase expansion plan targeting the United Arab Emirates Abu Dhabi market:</w:t>
      </w:r>
    </w:p>
    <w:p>
      <w:pPr>
        <w:numPr>
          <w:ilvl w:val="0"/>
          <w:numId w:val="1003"/>
        </w:numPr>
        <w:pStyle w:val="Compact"/>
      </w:pPr>
      <w:r>
        <w:rPr>
          <w:bCs/>
          <w:b/>
        </w:rPr>
        <w:t xml:space="preserve">Phase 1 (Q4 2023):</w:t>
      </w:r>
      <w:r>
        <w:t xml:space="preserve"> </w:t>
      </w:r>
      <w:r>
        <w:t xml:space="preserve">Establish an Academic Researcher "Innovation Hub" within Masdar City, creating a dedicated facility for AI-driven research projects aligned with Abu Dhabi's sustainability goals.</w:t>
      </w:r>
    </w:p>
    <w:p>
      <w:pPr>
        <w:numPr>
          <w:ilvl w:val="0"/>
          <w:numId w:val="1003"/>
        </w:numPr>
        <w:pStyle w:val="Compact"/>
      </w:pPr>
      <w:r>
        <w:rPr>
          <w:bCs/>
          <w:b/>
        </w:rPr>
        <w:t xml:space="preserve">Phase 2 (Q1-Q2 2024):</w:t>
      </w:r>
      <w:r>
        <w:t xml:space="preserve"> </w:t>
      </w:r>
      <w:r>
        <w:t xml:space="preserve">Develop Arabic-language research analytics tools specifically for UAE institutions, addressing the critical need for localized data interpretation.</w:t>
      </w:r>
    </w:p>
    <w:p>
      <w:pPr>
        <w:numPr>
          <w:ilvl w:val="0"/>
          <w:numId w:val="1003"/>
        </w:numPr>
        <w:pStyle w:val="Compact"/>
      </w:pPr>
      <w:r>
        <w:rPr>
          <w:bCs/>
          <w:b/>
        </w:rPr>
        <w:t xml:space="preserve">Phase 3 (H2 2024):</w:t>
      </w:r>
      <w:r>
        <w:t xml:space="preserve"> </w:t>
      </w:r>
      <w:r>
        <w:t xml:space="preserve">Launch a joint certification program with Khalifa University to train local Academic Researchers, directly supporting Abu Dhabi's goal of developing homegrown research talent.</w:t>
      </w:r>
    </w:p>
    <w:bookmarkEnd w:id="30"/>
    <w:bookmarkStart w:id="31" w:name="X2741964ac3b1062068f27dfecad9ce99d5232e4"/>
    <w:p>
      <w:pPr>
        <w:pStyle w:val="Heading2"/>
      </w:pPr>
      <w:r>
        <w:t xml:space="preserve">Conclusion: The Strategic Imperative of Academic Researcher Services in Abu Dhabi</w:t>
      </w:r>
    </w:p>
    <w:p>
      <w:pPr>
        <w:pStyle w:val="FirstParagraph"/>
      </w:pPr>
      <w:r>
        <w:t xml:space="preserve">The United Arab Emirates Abu Dhabi market has unequivocally validated the strategic importance of specialized Academic Researcher services. Our Q3 performance demonstrates that when academic research capabilities align with Abu Dhabi's economic vision – through cultural intelligence, regulatory mastery, and solution customization – they become catalysts for institutional growth rather than mere service providers. As the Abu Dhabi Executive Council recently emphasized in their "Research &amp; Development 2030" roadmap: 'Investment in quality academic research is the ultimate competitive advantage.' This Sales Report confirms that our Academic Researcher portfolio has become a cornerstone of this vision, with revenue growth outpacing all other regional markets by 2.3x.</w:t>
      </w:r>
    </w:p>
    <w:p>
      <w:pPr>
        <w:pStyle w:val="BodyText"/>
      </w:pPr>
      <w:r>
        <w:t xml:space="preserve">Looking ahead, we project a minimum 45% revenue increase for Academic Researcher services in Abu Dhabi during 2024. This trajectory positions us to deliver on our commitment to being the preferred research partner for institutions driving the United Arab Emirates' transformation into a global knowledge economy leader. The continued success of our Academic Researchers in Abu Dhabi represents not just business growth, but meaningful contribution to the emirate's ambitious scientific and economic future.</w:t>
      </w:r>
    </w:p>
    <w:p>
      <w:pPr>
        <w:pStyle w:val="BodyText"/>
      </w:pPr>
      <w:r>
        <w:rPr>
          <w:iCs/>
          <w:i/>
        </w:rPr>
        <w:t xml:space="preserve">Prepared by: Global Research Solutions Division</w:t>
      </w:r>
    </w:p>
    <w:p>
      <w:pPr>
        <w:pStyle w:val="BodyText"/>
      </w:pP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United Arab Emirates Abu Dhabi Market</dc:title>
  <dc:creator/>
  <dc:language>en</dc:language>
  <cp:keywords/>
  <dcterms:created xsi:type="dcterms:W3CDTF">2025-12-10T07:05:17Z</dcterms:created>
  <dcterms:modified xsi:type="dcterms:W3CDTF">2025-12-10T07:05:17Z</dcterms:modified>
</cp:coreProperties>
</file>

<file path=docProps/custom.xml><?xml version="1.0" encoding="utf-8"?>
<Properties xmlns="http://schemas.openxmlformats.org/officeDocument/2006/custom-properties" xmlns:vt="http://schemas.openxmlformats.org/officeDocument/2006/docPropsVTypes"/>
</file>