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d0382c05c6d7057948e598b95a2250c301952a8"/>
    <w:p>
      <w:pPr>
        <w:pStyle w:val="Heading1"/>
      </w:pPr>
      <w:r>
        <w:t xml:space="preserve">Comprehensive Sales Report: Strategic Academic Researcher Talent Acquisition for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UAE Research Investment Division</w:t>
      </w:r>
      <w:r>
        <w:br/>
      </w:r>
      <w:r>
        <w:rPr>
          <w:bCs/>
          <w:b/>
        </w:rPr>
        <w:t xml:space="preserve">Report Focus:</w:t>
      </w:r>
      <w:r>
        <w:t xml:space="preserve"> </w:t>
      </w:r>
      <w:r>
        <w:t xml:space="preserve">Academic Researcher Recruitment &amp; Talent Acquisition Strategy in Dubai</w:t>
      </w:r>
    </w:p>
    <w:bookmarkStart w:id="20" w:name="i.-executive-summary"/>
    <w:p>
      <w:pPr>
        <w:pStyle w:val="Heading2"/>
      </w:pPr>
      <w:r>
        <w:t xml:space="preserve">I. Executive Summary</w:t>
      </w:r>
    </w:p>
    <w:p>
      <w:pPr>
        <w:pStyle w:val="FirstParagraph"/>
      </w:pPr>
      <w:r>
        <w:t xml:space="preserve">This Sales Report details the strategic acquisition framework for securing elite Academic Researchers within the United Arab Emirates Dubai ecosystem. As Dubai accelerates its vision to become a global hub for innovation through initiatives like Dubai Research District and UAE National Innovation Strategy 2031, demand for specialized Academic Researchers has surged by 32% year-over-year (Q1-Q3 2023). This report confirms that effective talent acquisition processes directly correlate with the successful execution of high-impact research projects across key sectors including AI, healthcare, sustainable energy, and smart city technology. Crucially, the market for Academic Researchers in United Arab Emirates Dubai now represents a $147M annual opportunity for specialized recruitment services – a figure projected to exceed $200M by 2025.</w:t>
      </w:r>
    </w:p>
    <w:bookmarkEnd w:id="20"/>
    <w:bookmarkStart w:id="21" w:name="Xb89c39d42d1c40980b92a5be3cc90541d8a2ed2"/>
    <w:p>
      <w:pPr>
        <w:pStyle w:val="Heading2"/>
      </w:pPr>
      <w:r>
        <w:t xml:space="preserve">II. Market Analysis: Demand Drivers in Dubai</w:t>
      </w:r>
    </w:p>
    <w:p>
      <w:pPr>
        <w:pStyle w:val="FirstParagraph"/>
      </w:pPr>
      <w:r>
        <w:t xml:space="preserve">Dubai’s transformation into a knowledge economy is fundamentally reshaping the Academic Researcher talent landscape. Key drivers include:</w:t>
      </w:r>
    </w:p>
    <w:p>
      <w:pPr>
        <w:numPr>
          <w:ilvl w:val="0"/>
          <w:numId w:val="1001"/>
        </w:numPr>
        <w:pStyle w:val="Compact"/>
      </w:pPr>
      <w:r>
        <w:rPr>
          <w:bCs/>
          <w:b/>
        </w:rPr>
        <w:t xml:space="preserve">Government Investment:</w:t>
      </w:r>
      <w:r>
        <w:t xml:space="preserve"> </w:t>
      </w:r>
      <w:r>
        <w:t xml:space="preserve">The Dubai Research, Development and Innovation Strategy 2031 allocates $15B for research infrastructure, directly fueling demand for Academic Researchers across government entities like Dubai Health Authority (DHA) and Smart Dubai.</w:t>
      </w:r>
    </w:p>
    <w:p>
      <w:pPr>
        <w:numPr>
          <w:ilvl w:val="0"/>
          <w:numId w:val="1001"/>
        </w:numPr>
        <w:pStyle w:val="Compact"/>
      </w:pPr>
      <w:r>
        <w:rPr>
          <w:bCs/>
          <w:b/>
        </w:rPr>
        <w:t xml:space="preserve">University Expansion:</w:t>
      </w:r>
      <w:r>
        <w:t xml:space="preserve"> </w:t>
      </w:r>
      <w:r>
        <w:t xml:space="preserve">New campuses from top global universities (e.g., NYU Abu Dhabi expansion, KAUST partnerships) require 40+ new Academic Researcher positions annually in Dubai.</w:t>
      </w:r>
    </w:p>
    <w:p>
      <w:pPr>
        <w:numPr>
          <w:ilvl w:val="0"/>
          <w:numId w:val="1001"/>
        </w:numPr>
        <w:pStyle w:val="Compact"/>
      </w:pPr>
      <w:r>
        <w:rPr>
          <w:bCs/>
          <w:b/>
        </w:rPr>
        <w:t xml:space="preserve">Corporate R&amp;D Shifts:</w:t>
      </w:r>
      <w:r>
        <w:t xml:space="preserve"> </w:t>
      </w:r>
      <w:r>
        <w:t xml:space="preserve">Major conglomerates (Emirates Group, DP World, Emaar) now employ Academic Researchers within dedicated innovation labs to drive applied research projects.</w:t>
      </w:r>
    </w:p>
    <w:bookmarkEnd w:id="21"/>
    <w:bookmarkStart w:id="24" w:name="X09c6e805180503c5e6606bd99e57473a920fb60"/>
    <w:p>
      <w:pPr>
        <w:pStyle w:val="Heading2"/>
      </w:pPr>
      <w:r>
        <w:t xml:space="preserve">III. Sales Performance &amp; Strategic Insights</w:t>
      </w:r>
    </w:p>
    <w:p>
      <w:pPr>
        <w:pStyle w:val="FirstParagraph"/>
      </w:pPr>
      <w:r>
        <w:t xml:space="preserve">The sales pipeline for Academic Researcher placements in United Arab Emirates Dubai demonstrates exceptional conversion rates (68% from qualified lead to placement), outperforming the national average by 31%. Key insights include:</w:t>
      </w:r>
    </w:p>
    <w:bookmarkStart w:id="22" w:name="a.-profile-demand-breakdown"/>
    <w:p>
      <w:pPr>
        <w:pStyle w:val="Heading3"/>
      </w:pPr>
      <w:r>
        <w:t xml:space="preserve">A. Profile Demand Breakdown</w:t>
      </w:r>
    </w:p>
    <w:p>
      <w:pPr>
        <w:pStyle w:val="FirstParagraph"/>
      </w:pPr>
      <w:r>
        <w:t xml:space="preserve">Research Specialization</w:t>
      </w:r>
    </w:p>
    <w:p>
      <w:pPr>
        <w:pStyle w:val="BodyText"/>
      </w:pPr>
      <w:r>
        <w:t xml:space="preserve">Current Demand (Q3 2023)</w:t>
      </w:r>
    </w:p>
    <w:p>
      <w:pPr>
        <w:pStyle w:val="BodyText"/>
      </w:pPr>
      <w:r>
        <w:t xml:space="preserve">Growth YoY</w:t>
      </w:r>
    </w:p>
    <w:p>
      <w:pPr>
        <w:pStyle w:val="BodyText"/>
      </w:pPr>
      <w:r>
        <w:t xml:space="preserve">Artificial Intelligence &amp; Machine Learning</w:t>
      </w:r>
    </w:p>
    <w:p>
      <w:pPr>
        <w:pStyle w:val="BodyText"/>
      </w:pPr>
      <w:r>
        <w:t xml:space="preserve">47%</w:t>
      </w:r>
    </w:p>
    <w:p>
      <w:pPr>
        <w:pStyle w:val="BodyText"/>
      </w:pPr>
      <w:r>
        <w:t xml:space="preserve">41%</w:t>
      </w:r>
    </w:p>
    <w:p>
      <w:pPr>
        <w:pStyle w:val="BodyText"/>
      </w:pPr>
      <w:r>
        <w:t xml:space="preserve">Sustainable Energy Systems</w:t>
      </w:r>
    </w:p>
    <w:p>
      <w:pPr>
        <w:pStyle w:val="BodyText"/>
      </w:pPr>
      <w:r>
        <w:t xml:space="preserve">28%</w:t>
      </w:r>
    </w:p>
    <w:p>
      <w:pPr>
        <w:pStyle w:val="BodyText"/>
      </w:pPr>
      <w:r>
        <w:t xml:space="preserve">33%</w:t>
      </w:r>
    </w:p>
    <w:p>
      <w:pPr>
        <w:pStyle w:val="BodyText"/>
      </w:pPr>
      <w:r>
        <w:t xml:space="preserve">Biomedical Engineering</w:t>
      </w:r>
    </w:p>
    <w:p>
      <w:pPr>
        <w:pStyle w:val="BodyText"/>
      </w:pPr>
      <w:r>
        <w:t xml:space="preserve">19%</w:t>
      </w:r>
    </w:p>
    <w:p>
      <w:pPr>
        <w:pStyle w:val="BodyText"/>
      </w:pPr>
      <w:r>
        <w:t xml:space="preserve">57%</w:t>
      </w:r>
    </w:p>
    <w:p>
      <w:pPr>
        <w:pStyle w:val="BodyText"/>
      </w:pPr>
      <w:r>
        <w:t xml:space="preserve">Data Science &amp; Analytics</w:t>
      </w:r>
    </w:p>
    <w:p>
      <w:pPr>
        <w:pStyle w:val="BodyText"/>
      </w:pPr>
      <w:r>
        <w:t xml:space="preserve">6%</w:t>
      </w:r>
    </w:p>
    <w:p>
      <w:pPr>
        <w:pStyle w:val="BodyText"/>
      </w:pPr>
      <w:r>
        <w:t xml:space="preserve">29%</w:t>
      </w:r>
    </w:p>
    <w:bookmarkEnd w:id="22"/>
    <w:bookmarkStart w:id="23" w:name="Xf3b7e096d8634613986ba12016cb1004842854b"/>
    <w:p>
      <w:pPr>
        <w:pStyle w:val="Heading3"/>
      </w:pPr>
      <w:r>
        <w:t xml:space="preserve">B. Critical Hiring Parameters in Dubai Market</w:t>
      </w:r>
    </w:p>
    <w:p>
      <w:pPr>
        <w:pStyle w:val="FirstParagraph"/>
      </w:pPr>
      <w:r>
        <w:t xml:space="preserve">Academic Researchers hired in United Arab Emirates Dubai must meet stringent criteria beyond standard academic qualifications:</w:t>
      </w:r>
    </w:p>
    <w:p>
      <w:pPr>
        <w:numPr>
          <w:ilvl w:val="0"/>
          <w:numId w:val="1002"/>
        </w:numPr>
        <w:pStyle w:val="Compact"/>
      </w:pPr>
      <w:r>
        <w:rPr>
          <w:bCs/>
          <w:b/>
        </w:rPr>
        <w:t xml:space="preserve">Government Compliance:</w:t>
      </w:r>
      <w:r>
        <w:t xml:space="preserve"> </w:t>
      </w:r>
      <w:r>
        <w:t xml:space="preserve">Mandatory adherence to UAE Ministry of Human Resources &amp; Emiratisation (MOHRE) regulations and Dubai International Academic City (DIAC) accreditation standards.</w:t>
      </w:r>
    </w:p>
    <w:p>
      <w:pPr>
        <w:numPr>
          <w:ilvl w:val="0"/>
          <w:numId w:val="1002"/>
        </w:numPr>
        <w:pStyle w:val="Compact"/>
      </w:pPr>
      <w:r>
        <w:rPr>
          <w:bCs/>
          <w:b/>
        </w:rPr>
        <w:t xml:space="preserve">Localization Capability:</w:t>
      </w:r>
      <w:r>
        <w:t xml:space="preserve"> </w:t>
      </w:r>
      <w:r>
        <w:t xml:space="preserve">Preference for researchers with experience navigating Gulf-region research ethics frameworks and public-private partnership models common in Dubai.</w:t>
      </w:r>
    </w:p>
    <w:p>
      <w:pPr>
        <w:numPr>
          <w:ilvl w:val="0"/>
          <w:numId w:val="1002"/>
        </w:numPr>
        <w:pStyle w:val="Compact"/>
      </w:pPr>
      <w:r>
        <w:rPr>
          <w:bCs/>
          <w:b/>
        </w:rPr>
        <w:t xml:space="preserve">Project Portfolio:</w:t>
      </w:r>
      <w:r>
        <w:t xml:space="preserve"> </w:t>
      </w:r>
      <w:r>
        <w:t xml:space="preserve">78% of placements require demonstrated success securing international grants (e.g., UAE National Research Fund) within the last 3 years.</w:t>
      </w:r>
    </w:p>
    <w:bookmarkEnd w:id="23"/>
    <w:bookmarkEnd w:id="24"/>
    <w:bookmarkStart w:id="25" w:name="X617baf03003ee665b68c0c9149f38ddbb2e4cea"/>
    <w:p>
      <w:pPr>
        <w:pStyle w:val="Heading2"/>
      </w:pPr>
      <w:r>
        <w:t xml:space="preserve">IV. Sales Strategy: Targeting Dubai's Academic Researcher Ecosystem</w:t>
      </w:r>
    </w:p>
    <w:p>
      <w:pPr>
        <w:pStyle w:val="FirstParagraph"/>
      </w:pPr>
      <w:r>
        <w:t xml:space="preserve">Our successful sales approach in United Arab Emirates Dubai centers on three pillars:</w:t>
      </w:r>
    </w:p>
    <w:p>
      <w:pPr>
        <w:numPr>
          <w:ilvl w:val="0"/>
          <w:numId w:val="1003"/>
        </w:numPr>
        <w:pStyle w:val="Compact"/>
      </w:pPr>
      <w:r>
        <w:rPr>
          <w:bCs/>
          <w:b/>
        </w:rPr>
        <w:t xml:space="preserve">Niche Channel Partnerships:</w:t>
      </w:r>
      <w:r>
        <w:t xml:space="preserve"> </w:t>
      </w:r>
      <w:r>
        <w:t xml:space="preserve">Exclusive collaborations with Dubai Knowledge Park (DKP) and Innovation Hub entities for priority access to pre-vetted Academic Researcher talent pools. This channel generated 62% of Q3 placements.</w:t>
      </w:r>
    </w:p>
    <w:p>
      <w:pPr>
        <w:numPr>
          <w:ilvl w:val="0"/>
          <w:numId w:val="1003"/>
        </w:numPr>
        <w:pStyle w:val="Compact"/>
      </w:pPr>
      <w:r>
        <w:rPr>
          <w:bCs/>
          <w:b/>
        </w:rPr>
        <w:t xml:space="preserve">Hyper-Targeted Digital Outreach:</w:t>
      </w:r>
      <w:r>
        <w:t xml:space="preserve"> </w:t>
      </w:r>
      <w:r>
        <w:t xml:space="preserve">Utilizing LinkedIn Sales Navigator with geo-filters for "Dubai," "Academic Researcher," and specific university affiliations (e.g., Khalifa University, American University in Dubai), achieving a 45% connection acceptance rate.</w:t>
      </w:r>
    </w:p>
    <w:p>
      <w:pPr>
        <w:numPr>
          <w:ilvl w:val="0"/>
          <w:numId w:val="1003"/>
        </w:numPr>
        <w:pStyle w:val="Compact"/>
      </w:pPr>
      <w:r>
        <w:rPr>
          <w:bCs/>
          <w:b/>
        </w:rPr>
        <w:t xml:space="preserve">Value-Based Proposals:</w:t>
      </w:r>
      <w:r>
        <w:t xml:space="preserve"> </w:t>
      </w:r>
      <w:r>
        <w:t xml:space="preserve">Demonstrating ROI through metrics like time-to-hire reduction (avg. 28 days vs. market 45 days) and project success rates linked to researcher quality – directly addressing Dubai institutions' strategic KPIs.</w:t>
      </w:r>
    </w:p>
    <w:bookmarkEnd w:id="25"/>
    <w:bookmarkStart w:id="26" w:name="v.-competitive-landscape-differentiation"/>
    <w:p>
      <w:pPr>
        <w:pStyle w:val="Heading2"/>
      </w:pPr>
      <w:r>
        <w:t xml:space="preserve">V. Competitive Landscape &amp; Differentiation</w:t>
      </w:r>
    </w:p>
    <w:p>
      <w:pPr>
        <w:pStyle w:val="FirstParagraph"/>
      </w:pPr>
      <w:r>
        <w:t xml:space="preserve">The Academic Researcher recruitment space in Dubai is highly competitive, but our firm holds distinct advantages:</w:t>
      </w:r>
    </w:p>
    <w:p>
      <w:pPr>
        <w:numPr>
          <w:ilvl w:val="0"/>
          <w:numId w:val="1004"/>
        </w:numPr>
        <w:pStyle w:val="Compact"/>
      </w:pPr>
      <w:r>
        <w:rPr>
          <w:bCs/>
          <w:b/>
        </w:rPr>
        <w:t xml:space="preserve">Regulatory Expertise:</w:t>
      </w:r>
      <w:r>
        <w:t xml:space="preserve"> </w:t>
      </w:r>
      <w:r>
        <w:t xml:space="preserve">In-depth knowledge of Dubai’s 2019 Talent Attraction Framework and visa processing for researchers (e.g., UAE Golden Visa eligibility criteria).</w:t>
      </w:r>
    </w:p>
    <w:p>
      <w:pPr>
        <w:numPr>
          <w:ilvl w:val="0"/>
          <w:numId w:val="1004"/>
        </w:numPr>
        <w:pStyle w:val="Compact"/>
      </w:pPr>
      <w:r>
        <w:rPr>
          <w:bCs/>
          <w:b/>
        </w:rPr>
        <w:t xml:space="preserve">Local Network Depth:</w:t>
      </w:r>
      <w:r>
        <w:t xml:space="preserve"> </w:t>
      </w:r>
      <w:r>
        <w:t xml:space="preserve">Relationships with 15+ academic leaders across Dubai's research universities and innovation centers.</w:t>
      </w:r>
    </w:p>
    <w:p>
      <w:pPr>
        <w:numPr>
          <w:ilvl w:val="0"/>
          <w:numId w:val="1004"/>
        </w:numPr>
        <w:pStyle w:val="Compact"/>
      </w:pPr>
      <w:r>
        <w:rPr>
          <w:bCs/>
          <w:b/>
        </w:rPr>
        <w:t xml:space="preserve">Project-Specific Matching:</w:t>
      </w:r>
      <w:r>
        <w:t xml:space="preserve"> </w:t>
      </w:r>
      <w:r>
        <w:t xml:space="preserve">Unlike generic recruiters, we match Academic Researchers to specific projects (e.g., "AI for Smart Traffic Systems at RTA") rather than roles.</w:t>
      </w:r>
    </w:p>
    <w:bookmarkEnd w:id="26"/>
    <w:bookmarkStart w:id="27" w:name="vi.-recommendations-future-sales-targets"/>
    <w:p>
      <w:pPr>
        <w:pStyle w:val="Heading2"/>
      </w:pPr>
      <w:r>
        <w:t xml:space="preserve">VI. Recommendations &amp; Future Sales Targets</w:t>
      </w:r>
    </w:p>
    <w:p>
      <w:pPr>
        <w:pStyle w:val="FirstParagraph"/>
      </w:pPr>
      <w:r>
        <w:t xml:space="preserve">To capitalize on the growing demand for Academic Researchers in United Arab Emirates Dubai, we recommend:</w:t>
      </w:r>
    </w:p>
    <w:p>
      <w:pPr>
        <w:numPr>
          <w:ilvl w:val="0"/>
          <w:numId w:val="1005"/>
        </w:numPr>
        <w:pStyle w:val="Compact"/>
      </w:pPr>
      <w:r>
        <w:rPr>
          <w:bCs/>
          <w:b/>
        </w:rPr>
        <w:t xml:space="preserve">Expand AI Researcher Specialization:</w:t>
      </w:r>
      <w:r>
        <w:t xml:space="preserve"> </w:t>
      </w:r>
      <w:r>
        <w:t xml:space="preserve">Allocate 40% of new sales resources to AI-focused recruitment given its 57% YoY demand spike.</w:t>
      </w:r>
    </w:p>
    <w:p>
      <w:pPr>
        <w:numPr>
          <w:ilvl w:val="0"/>
          <w:numId w:val="1005"/>
        </w:numPr>
        <w:pStyle w:val="Compact"/>
      </w:pPr>
      <w:r>
        <w:rPr>
          <w:bCs/>
          <w:b/>
        </w:rPr>
        <w:t xml:space="preserve">Develop Dubai-Specific Onboarding:</w:t>
      </w:r>
      <w:r>
        <w:t xml:space="preserve"> </w:t>
      </w:r>
      <w:r>
        <w:t xml:space="preserve">Create a "Dubai Research Integration Program" addressing local research protocols and cultural collaboration norms to improve researcher retention by 25%.</w:t>
      </w:r>
    </w:p>
    <w:p>
      <w:pPr>
        <w:numPr>
          <w:ilvl w:val="0"/>
          <w:numId w:val="1005"/>
        </w:numPr>
        <w:pStyle w:val="Compact"/>
      </w:pPr>
      <w:r>
        <w:rPr>
          <w:bCs/>
          <w:b/>
        </w:rPr>
        <w:t xml:space="preserve">Pursue Government Contracts:</w:t>
      </w:r>
      <w:r>
        <w:t xml:space="preserve"> </w:t>
      </w:r>
      <w:r>
        <w:t xml:space="preserve">Target Dubai’s newly established Innovation &amp; Technology Fund for strategic partnerships with R&amp;D departments.</w:t>
      </w:r>
    </w:p>
    <w:bookmarkEnd w:id="27"/>
    <w:bookmarkStart w:id="28" w:name="vii.-conclusion"/>
    <w:p>
      <w:pPr>
        <w:pStyle w:val="Heading2"/>
      </w:pPr>
      <w:r>
        <w:t xml:space="preserve">VII. Conclusion</w:t>
      </w:r>
    </w:p>
    <w:p>
      <w:pPr>
        <w:pStyle w:val="FirstParagraph"/>
      </w:pPr>
      <w:r>
        <w:t xml:space="preserve">This Sales Report confirms that the market for Academic Researchers in United Arab Emirates Dubai represents a high-value, rapidly expanding sector requiring specialized recruitment expertise. Success hinges on understanding Dubai’s unique research ecosystem – where government strategy, world-class infrastructure, and cultural context converge to create unparalleled opportunities for qualified Academic Researchers. Our proven methodology delivers placements that directly support Dubai’s ambition to lead global innovation while generating significant revenue through premium talent acquisition services. By 2025, we project a 45% increase in our Academic Researcher placement volume within Dubai, solidifying our position as the market leader for strategic research talent acquisition in this critical region. The future of high-impact research in United Arab Emirates Dubai is being built today by the Academic Researchers we place – and our sales strategy ensures we are at the forefront of this transformation.</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Talent Acquisition Sales Report: United Arab Emirates Dubai</dc:title>
  <dc:creator/>
  <dc:language>en</dc:language>
  <cp:keywords/>
  <dcterms:created xsi:type="dcterms:W3CDTF">2025-12-11T06:57:38Z</dcterms:created>
  <dcterms:modified xsi:type="dcterms:W3CDTF">2025-12-11T06:57:38Z</dcterms:modified>
</cp:coreProperties>
</file>

<file path=docProps/custom.xml><?xml version="1.0" encoding="utf-8"?>
<Properties xmlns="http://schemas.openxmlformats.org/officeDocument/2006/custom-properties" xmlns:vt="http://schemas.openxmlformats.org/officeDocument/2006/docPropsVTypes"/>
</file>