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0" w:name="Xf61bac12eb24879ea91e508d7ca9135ffa596a7"/>
    <w:p>
      <w:pPr>
        <w:pStyle w:val="Heading1"/>
      </w:pPr>
      <w:r>
        <w:t xml:space="preserve">Sales Report: Academic Researcher Impact and Strategic Contributions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Birmingham Research Directorate &amp; Midlands Innovation Partners</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strategic impact and output metrics of an Academic Researcher within the University of Birmingham's School of Engineering &amp; Physical Sciences. Unlike conventional commercial sales roles, this report reframes "sales" as the effective translation, dissemination, and commercialisation of academic research outputs into tangible societal and economic value for United Kingdom Birmingham. The report demonstrates how strategic research activities generate measurable returns for industry partners, public sector stakeholders, and the regional economy—aligning with Birmingham's position as a UK innovation hub.</w:t>
      </w:r>
    </w:p>
    <w:bookmarkEnd w:id="20"/>
    <w:bookmarkStart w:id="21" w:name="Xa07a01fa4923d79795665e69af7c776ec8fa4b4"/>
    <w:p>
      <w:pPr>
        <w:pStyle w:val="Heading2"/>
      </w:pPr>
      <w:r>
        <w:t xml:space="preserve">Core Performance Metrics: Research Impact as "Sales"</w:t>
      </w:r>
    </w:p>
    <w:p>
      <w:pPr>
        <w:pStyle w:val="FirstParagraph"/>
      </w:pPr>
      <w:r>
        <w:t xml:space="preserve">The Academic Researcher’s work directly contributes to Birmingham's economic ecosystem through three primary "sales channels": knowledge transfer, collaborative R&amp;D partnerships, and policy-informed solutions. Key metrics for the reporting period include:</w:t>
      </w:r>
    </w:p>
    <w:p>
      <w:pPr>
        <w:numPr>
          <w:ilvl w:val="0"/>
          <w:numId w:val="1001"/>
        </w:numPr>
        <w:pStyle w:val="Compact"/>
      </w:pPr>
      <w:r>
        <w:rPr>
          <w:bCs/>
          <w:b/>
        </w:rPr>
        <w:t xml:space="preserve">Commercial Knowledge Transfer Agreements Secured:</w:t>
      </w:r>
      <w:r>
        <w:t xml:space="preserve"> </w:t>
      </w:r>
      <w:r>
        <w:t xml:space="preserve">4 new agreements with Midlands-based enterprises (including Jaguar Land Rover and Medtronic UK), generating £250,000 in direct research funding and enabling 12 industry co-developed projects.</w:t>
      </w:r>
    </w:p>
    <w:p>
      <w:pPr>
        <w:numPr>
          <w:ilvl w:val="0"/>
          <w:numId w:val="1001"/>
        </w:numPr>
        <w:pStyle w:val="Compact"/>
      </w:pPr>
      <w:r>
        <w:rPr>
          <w:bCs/>
          <w:b/>
        </w:rPr>
        <w:t xml:space="preserve">Policy Impact &amp; Public Sector Value:</w:t>
      </w:r>
      <w:r>
        <w:t xml:space="preserve"> </w:t>
      </w:r>
      <w:r>
        <w:t xml:space="preserve">Research outputs directly informed two Birmingham City Council sustainability initiatives (e.g., EV charging infrastructure planning) and provided evidence for a West Midlands NHS Trust’s healthcare innovation strategy, securing £150,000 in follow-on funding.</w:t>
      </w:r>
    </w:p>
    <w:p>
      <w:pPr>
        <w:numPr>
          <w:ilvl w:val="0"/>
          <w:numId w:val="1001"/>
        </w:numPr>
        <w:pStyle w:val="Compact"/>
      </w:pPr>
      <w:r>
        <w:rPr>
          <w:bCs/>
          <w:b/>
        </w:rPr>
        <w:t xml:space="preserve">Industry Engagement Volume:</w:t>
      </w:r>
      <w:r>
        <w:t xml:space="preserve"> </w:t>
      </w:r>
      <w:r>
        <w:t xml:space="preserve">23 sector-specific workshops conducted across United Kingdom Birmingham’s manufacturing, healthcare, and green-tech clusters; 17 industry representatives engaged in researcher-led solution design sessions.</w:t>
      </w:r>
    </w:p>
    <w:bookmarkEnd w:id="21"/>
    <w:bookmarkStart w:id="25" w:name="Xfee633a8fee8df4205515cc5aabf8e565ed97a4"/>
    <w:p>
      <w:pPr>
        <w:pStyle w:val="Heading2"/>
      </w:pPr>
      <w:r>
        <w:t xml:space="preserve">Strategic Research Activities Driving Regional Value</w:t>
      </w:r>
    </w:p>
    <w:p>
      <w:pPr>
        <w:pStyle w:val="FirstParagraph"/>
      </w:pPr>
      <w:r>
        <w:t xml:space="preserve">The Academic Researcher’s work focuses on advanced materials science—a priority sector for Birmingham's economic strategy under the Midlands Engine initiative. This research translates into "sales" through:</w:t>
      </w:r>
    </w:p>
    <w:bookmarkStart w:id="22" w:name="industry-driven-project-development"/>
    <w:p>
      <w:pPr>
        <w:pStyle w:val="Heading3"/>
      </w:pPr>
      <w:r>
        <w:t xml:space="preserve">1. Industry-Driven Project Development</w:t>
      </w:r>
    </w:p>
    <w:p>
      <w:pPr>
        <w:pStyle w:val="FirstParagraph"/>
      </w:pPr>
      <w:r>
        <w:t xml:space="preserve">A flagship project with local automotive supplier, GKN Driveline, resulted in a patent-pending process for lightweighting vehicle components (reducing material costs by 18%). This directly addresses Birmingham’s manufacturing competitiveness goals. The project was presented at the Midlands Manufacturing Innovation Summit (Birmingham), attracting three additional partnership inquiries.</w:t>
      </w:r>
    </w:p>
    <w:bookmarkEnd w:id="22"/>
    <w:bookmarkStart w:id="23" w:name="knowledge-exchange-hubs"/>
    <w:p>
      <w:pPr>
        <w:pStyle w:val="Heading3"/>
      </w:pPr>
      <w:r>
        <w:t xml:space="preserve">2. Knowledge Exchange Hubs</w:t>
      </w:r>
    </w:p>
    <w:p>
      <w:pPr>
        <w:pStyle w:val="FirstParagraph"/>
      </w:pPr>
      <w:r>
        <w:t xml:space="preserve">Hosting monthly "Innovation Coffee Mornings" at the University of Birmingham's City Centre campus, the Academic Researcher facilitated dialogue between 15 SMEs and university labs. This initiative generated three new collaborative funding applications (totaling £420k) targeting Midlands-based clean energy startups, with Birmingham as the operational base for all projects.</w:t>
      </w:r>
    </w:p>
    <w:bookmarkEnd w:id="23"/>
    <w:bookmarkStart w:id="24" w:name="public-benefit-delivery"/>
    <w:p>
      <w:pPr>
        <w:pStyle w:val="Heading3"/>
      </w:pPr>
      <w:r>
        <w:t xml:space="preserve">3. Public Benefit Delivery</w:t>
      </w:r>
    </w:p>
    <w:p>
      <w:pPr>
        <w:pStyle w:val="FirstParagraph"/>
      </w:pPr>
      <w:r>
        <w:t xml:space="preserve">Research on sustainable urban drainage systems (SUDS) was adopted by Birmingham City Council’s Flood Resilience Programme. This implementation has already prevented £1.2M in potential flood-related infrastructure damage across 4 city wards, demonstrating direct public value derived from academic work.</w:t>
      </w:r>
    </w:p>
    <w:bookmarkEnd w:id="24"/>
    <w:bookmarkEnd w:id="25"/>
    <w:bookmarkStart w:id="26" w:name="Xc83e7f201515d49016300bb6fec0ca442e806ce"/>
    <w:p>
      <w:pPr>
        <w:pStyle w:val="Heading2"/>
      </w:pPr>
      <w:r>
        <w:t xml:space="preserve">United Kingdom Birmingham: The Localised Impact Ecosystem</w:t>
      </w:r>
    </w:p>
    <w:p>
      <w:pPr>
        <w:pStyle w:val="FirstParagraph"/>
      </w:pPr>
      <w:r>
        <w:t xml:space="preserve">Birmingham’s unique position as a UK regional powerhouse makes this Academic Researcher’s work particularly impactful. Unlike London-centric university outputs, this research actively targets the Midlands' economic priorities:</w:t>
      </w:r>
    </w:p>
    <w:p>
      <w:pPr>
        <w:numPr>
          <w:ilvl w:val="0"/>
          <w:numId w:val="1002"/>
        </w:numPr>
        <w:pStyle w:val="Compact"/>
      </w:pPr>
      <w:r>
        <w:rPr>
          <w:bCs/>
          <w:b/>
        </w:rPr>
        <w:t xml:space="preserve">Alignment with Local Strategy:</w:t>
      </w:r>
      <w:r>
        <w:t xml:space="preserve"> </w:t>
      </w:r>
      <w:r>
        <w:t xml:space="preserve">Research themes directly support Birmingham City Council's "Birmingham 2040" vision and the West Midlands Combined Authority’s Industrial Strategy.</w:t>
      </w:r>
    </w:p>
    <w:p>
      <w:pPr>
        <w:numPr>
          <w:ilvl w:val="0"/>
          <w:numId w:val="1002"/>
        </w:numPr>
        <w:pStyle w:val="Compact"/>
      </w:pPr>
      <w:r>
        <w:rPr>
          <w:bCs/>
          <w:b/>
        </w:rPr>
        <w:t xml:space="preserve">Supply Chain Integration:</w:t>
      </w:r>
      <w:r>
        <w:t xml:space="preserve"> </w:t>
      </w:r>
      <w:r>
        <w:t xml:space="preserve">Projects leverage Birmingham’s existing industrial clusters (e.g., automotive supply chains, healthcare providers), creating a multiplier effect for local jobs and innovation capacity.</w:t>
      </w:r>
    </w:p>
    <w:p>
      <w:pPr>
        <w:numPr>
          <w:ilvl w:val="0"/>
          <w:numId w:val="1002"/>
        </w:numPr>
        <w:pStyle w:val="Compact"/>
      </w:pPr>
      <w:r>
        <w:rPr>
          <w:bCs/>
          <w:b/>
        </w:rPr>
        <w:t xml:space="preserve">Skills Development:</w:t>
      </w:r>
      <w:r>
        <w:t xml:space="preserve"> </w:t>
      </w:r>
      <w:r>
        <w:t xml:space="preserve">8 Midlands-based PhD students and 3 postdocs were directly trained on industry-validated research pathways, enhancing the regional talent pipeline for Birmingham’s innovation economy.</w:t>
      </w:r>
    </w:p>
    <w:bookmarkEnd w:id="26"/>
    <w:bookmarkStart w:id="27" w:name="Xd05af58647f933c1451f4818445d3acb94c096f"/>
    <w:p>
      <w:pPr>
        <w:pStyle w:val="Heading2"/>
      </w:pPr>
      <w:r>
        <w:t xml:space="preserve">Competitive Advantage vs. National Benchmark</w:t>
      </w:r>
    </w:p>
    <w:p>
      <w:pPr>
        <w:pStyle w:val="FirstParagraph"/>
      </w:pPr>
      <w:r>
        <w:t xml:space="preserve">The Academic Researcher’s Birmingham-focused approach yields superior outcomes compared to national averages: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Birmingham Academic Researcher (2023)</w:t>
            </w:r>
          </w:p>
        </w:tc>
        <w:tc>
          <w:tcPr/>
          <w:p>
            <w:pPr>
              <w:pStyle w:val="Compact"/>
              <w:jc w:val="left"/>
            </w:pPr>
            <w:r>
              <w:t xml:space="preserve">National University Avg. (2023)</w:t>
            </w:r>
          </w:p>
        </w:tc>
      </w:tr>
      <w:tr>
        <w:tc>
          <w:tcPr/>
          <w:p>
            <w:pPr>
              <w:pStyle w:val="Compact"/>
              <w:jc w:val="left"/>
            </w:pPr>
            <w:r>
              <w:t xml:space="preserve">Industry Partnership Value Generated</w:t>
            </w:r>
          </w:p>
        </w:tc>
        <w:tc>
          <w:tcPr/>
          <w:p>
            <w:pPr>
              <w:pStyle w:val="Compact"/>
              <w:jc w:val="left"/>
            </w:pPr>
            <w:r>
              <w:t xml:space="preserve">£400,000</w:t>
            </w:r>
          </w:p>
        </w:tc>
        <w:tc>
          <w:tcPr/>
          <w:p>
            <w:pPr>
              <w:pStyle w:val="Compact"/>
              <w:jc w:val="left"/>
            </w:pPr>
            <w:r>
              <w:t xml:space="preserve">£185,000</w:t>
            </w:r>
          </w:p>
        </w:tc>
      </w:tr>
      <w:tr>
        <w:tc>
          <w:tcPr/>
          <w:p>
            <w:pPr>
              <w:pStyle w:val="Compact"/>
              <w:jc w:val="left"/>
            </w:pPr>
            <w:r>
              <w:t xml:space="preserve">Local Public Sector Impact Projects</w:t>
            </w:r>
          </w:p>
        </w:tc>
        <w:tc>
          <w:tcPr/>
          <w:p>
            <w:pPr>
              <w:pStyle w:val="Compact"/>
              <w:jc w:val="left"/>
            </w:pPr>
            <w:r>
              <w:t xml:space="preserve">3 (Birmingham Council/NHS)</w:t>
            </w:r>
          </w:p>
        </w:tc>
        <w:tc>
          <w:tcPr/>
          <w:p>
            <w:pPr>
              <w:pStyle w:val="Compact"/>
              <w:jc w:val="left"/>
            </w:pPr>
            <w:r>
              <w:t xml:space="preserve">1.2 (National Avg.)</w:t>
            </w:r>
          </w:p>
        </w:tc>
      </w:tr>
      <w:tr>
        <w:tc>
          <w:tcPr/>
          <w:p>
            <w:pPr>
              <w:pStyle w:val="Compact"/>
              <w:jc w:val="left"/>
            </w:pPr>
            <w:r>
              <w:t xml:space="preserve">SME Engagement Rate</w:t>
            </w:r>
          </w:p>
        </w:tc>
        <w:tc>
          <w:tcPr/>
          <w:p>
            <w:pPr>
              <w:pStyle w:val="Compact"/>
              <w:jc w:val="left"/>
            </w:pPr>
            <w:r>
              <w:t xml:space="preserve">78% of projects with Midlands SMEs</w:t>
            </w:r>
          </w:p>
        </w:tc>
        <w:tc>
          <w:tcPr/>
          <w:p>
            <w:pPr>
              <w:pStyle w:val="Compact"/>
              <w:jc w:val="left"/>
            </w:pPr>
            <w:r>
              <w:t xml:space="preserve">45% (National)</w:t>
            </w:r>
          </w:p>
        </w:tc>
      </w:tr>
    </w:tbl>
    <w:bookmarkEnd w:id="27"/>
    <w:bookmarkStart w:id="28" w:name="Xc10dcb345b0e52801318fa0d67e35264a937c53"/>
    <w:p>
      <w:pPr>
        <w:pStyle w:val="Heading2"/>
      </w:pPr>
      <w:r>
        <w:t xml:space="preserve">Future Strategic Recommendations for Enhanced "Sales" Performance</w:t>
      </w:r>
    </w:p>
    <w:p>
      <w:pPr>
        <w:pStyle w:val="FirstParagraph"/>
      </w:pPr>
      <w:r>
        <w:t xml:space="preserve">To amplify the Academic Researcher’s contribution to Birmingham’s economy, we recommend:</w:t>
      </w:r>
    </w:p>
    <w:p>
      <w:pPr>
        <w:numPr>
          <w:ilvl w:val="0"/>
          <w:numId w:val="1003"/>
        </w:numPr>
        <w:pStyle w:val="Compact"/>
      </w:pPr>
      <w:r>
        <w:rPr>
          <w:bCs/>
          <w:b/>
        </w:rPr>
        <w:t xml:space="preserve">Expand Midlands Innovation Fund Access:</w:t>
      </w:r>
      <w:r>
        <w:t xml:space="preserve"> </w:t>
      </w:r>
      <w:r>
        <w:t xml:space="preserve">Develop a dedicated £500k internal fund to fast-track high-potential projects with Birmingham-based partners, reducing time-to-market from 18 months to 6.</w:t>
      </w:r>
    </w:p>
    <w:p>
      <w:pPr>
        <w:numPr>
          <w:ilvl w:val="0"/>
          <w:numId w:val="1003"/>
        </w:numPr>
        <w:pStyle w:val="Compact"/>
      </w:pPr>
      <w:r>
        <w:rPr>
          <w:bCs/>
          <w:b/>
        </w:rPr>
        <w:t xml:space="preserve">Establish a Birmingham Industry Advisory Board:</w:t>
      </w:r>
      <w:r>
        <w:t xml:space="preserve"> </w:t>
      </w:r>
      <w:r>
        <w:t xml:space="preserve">Formalise quarterly strategic input from key Midlands employers (e.g., HS2 contractors, healthcare providers) to align research priorities with imminent regional needs.</w:t>
      </w:r>
    </w:p>
    <w:p>
      <w:pPr>
        <w:numPr>
          <w:ilvl w:val="0"/>
          <w:numId w:val="1003"/>
        </w:numPr>
        <w:pStyle w:val="Compact"/>
      </w:pPr>
      <w:r>
        <w:rPr>
          <w:bCs/>
          <w:b/>
        </w:rPr>
        <w:t xml:space="preserve">Develop Regional Impact Metrics:</w:t>
      </w:r>
      <w:r>
        <w:t xml:space="preserve"> </w:t>
      </w:r>
      <w:r>
        <w:t xml:space="preserve">Implement a bespoke dashboard tracking "Birmingham Value" (jobs created locally, SME growth metrics) alongside traditional publication outputs to better quantify the Academic Researcher’s contribution.</w:t>
      </w:r>
    </w:p>
    <w:bookmarkEnd w:id="28"/>
    <w:bookmarkStart w:id="29" w:name="Xaa72e070681238f5aa8a2a5d2ba1ddf8c564a84"/>
    <w:p>
      <w:pPr>
        <w:pStyle w:val="Heading2"/>
      </w:pPr>
      <w:r>
        <w:t xml:space="preserve">Conclusion: Academic Research as Catalyst for Birmingham's Growth</w:t>
      </w:r>
    </w:p>
    <w:p>
      <w:pPr>
        <w:pStyle w:val="FirstParagraph"/>
      </w:pPr>
      <w:r>
        <w:t xml:space="preserve">This report confirms that the role of an Academic Researcher in United Kingdom Birmingham transcends traditional scholarly output. By strategically aligning research with regional economic priorities—effectively "selling" academic expertise to solve local challenges—the University of Birmingham’s researcher generates demonstrable financial, social, and environmental returns for the Midlands. The £400k in direct value generated during this period represents a 32% uplift over the previous year, outperforming both national benchmarks and Birmingham’s own economic development targets.</w:t>
      </w:r>
    </w:p>
    <w:p>
      <w:pPr>
        <w:pStyle w:val="BodyText"/>
      </w:pPr>
      <w:r>
        <w:t xml:space="preserve">Crucially, this model proves that academic work can deliver immediate "sales" outcomes within its geographic context. The Academic Researcher’s success in Birmingham demonstrates how universities can move beyond abstract knowledge production to become active co-creators of regional prosperity. Future focus must remain on deepening these local partnerships, ensuring Birmingham—not just the UK—reaps the full benefits of academic research.</w:t>
      </w:r>
    </w:p>
    <w:p>
      <w:pPr>
        <w:pStyle w:val="BodyText"/>
      </w:pPr>
      <w:r>
        <w:rPr>
          <w:bCs/>
          <w:b/>
        </w:rPr>
        <w:t xml:space="preserve">Prepared by:</w:t>
      </w:r>
      <w:r>
        <w:t xml:space="preserve"> </w:t>
      </w:r>
      <w:r>
        <w:t xml:space="preserve">Office of Research Impact, University of Birmingham</w:t>
      </w:r>
      <w:r>
        <w:br/>
      </w:r>
      <w:r>
        <w:rPr>
          <w:bCs/>
          <w:b/>
        </w:rPr>
        <w:t xml:space="preserve">Contact:</w:t>
      </w:r>
      <w:r>
        <w:t xml:space="preserve"> </w:t>
      </w:r>
      <w:r>
        <w:t xml:space="preserve">research.impact@bham.ac.uk | +44 (0)121 414 5890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 United Kingdom Birmingham</dc:title>
  <dc:creator/>
  <dc:language>en</dc:language>
  <cp:keywords/>
  <dcterms:created xsi:type="dcterms:W3CDTF">2026-07-24T14:02:48Z</dcterms:created>
  <dcterms:modified xsi:type="dcterms:W3CDTF">2026-07-24T14:02:48Z</dcterms:modified>
</cp:coreProperties>
</file>

<file path=docProps/custom.xml><?xml version="1.0" encoding="utf-8"?>
<Properties xmlns="http://schemas.openxmlformats.org/officeDocument/2006/custom-properties" xmlns:vt="http://schemas.openxmlformats.org/officeDocument/2006/docPropsVTypes"/>
</file>