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d9d2646ad308cd55371a931520cb8f04a5aa419"/>
    <w:p>
      <w:pPr>
        <w:pStyle w:val="Heading1"/>
      </w:pPr>
      <w:r>
        <w:t xml:space="preserve">Sales Report: Academic Researcher Market Analysis and Performance in United Kingdom London</w:t>
      </w:r>
    </w:p>
    <w:bookmarkStart w:id="20" w:name="executive-summary"/>
    <w:p>
      <w:pPr>
        <w:pStyle w:val="Heading2"/>
      </w:pPr>
      <w:r>
        <w:t xml:space="preserve">Executive Summary</w:t>
      </w:r>
    </w:p>
    <w:p>
      <w:pPr>
        <w:pStyle w:val="FirstParagraph"/>
      </w:pPr>
      <w:r>
        <w:t xml:space="preserve">This comprehensive Sales Report details the performance, trends, and strategic opportunities within the Academic Researcher segment across United Kingdom London. The report analyses sales data from Q1 to Q3 2023, focusing specifically on products and services tailored to university-affiliated researchers operating within London's prestigious academic ecosystem. With over 580 research institutions in Greater London generating approximately £14 billion annually in research expenditure, this market represents a critical revenue stream requiring specialized sales approaches.</w:t>
      </w:r>
    </w:p>
    <w:bookmarkEnd w:id="20"/>
    <w:bookmarkStart w:id="21" w:name="Xbf377a05a8f261691661511a64c45349b3ff2f8"/>
    <w:p>
      <w:pPr>
        <w:pStyle w:val="Heading2"/>
      </w:pPr>
      <w:r>
        <w:t xml:space="preserve">Market Context: Academic Researcher Landscape in United Kingdom London</w:t>
      </w:r>
    </w:p>
    <w:p>
      <w:pPr>
        <w:pStyle w:val="FirstParagraph"/>
      </w:pPr>
      <w:r>
        <w:t xml:space="preserve">London serves as the epicenter of academic research excellence within the United Kingdom, hosting 7 of the top 10 global universities and accounting for 35% of all UK research funding. The Academic Researcher community in this region demonstrates distinct purchasing behaviors driven by institutional grant structures, peer-review pressures, and collaborative networks. Our sales strategy must recognize that successful engagement requires deep understanding of: (1) university procurement cycles tied to research council funding deadlines, (2) the dual need for high-impact academic tools alongside cost-conscious budgeting, and (3) London's unique ecosystem where researchers frequently collaborate across multiple institutions through initiatives like the London Research Consortium.</w:t>
      </w:r>
    </w:p>
    <w:bookmarkEnd w:id="21"/>
    <w:bookmarkStart w:id="24" w:name="q1-q3-2023-sales-performance-highlights"/>
    <w:p>
      <w:pPr>
        <w:pStyle w:val="Heading2"/>
      </w:pPr>
      <w:r>
        <w:t xml:space="preserve">Q1-Q3 2023 Sales Performance Highlights</w:t>
      </w:r>
    </w:p>
    <w:bookmarkStart w:id="22" w:name="key-metrics-against-target"/>
    <w:p>
      <w:pPr>
        <w:pStyle w:val="Heading3"/>
      </w:pPr>
      <w:r>
        <w:t xml:space="preserve">Key Metrics Against Target</w:t>
      </w:r>
    </w:p>
    <w:p>
      <w:pPr>
        <w:pStyle w:val="FirstParagraph"/>
      </w:pPr>
      <w:r>
        <w:t xml:space="preserve">KPI</w:t>
      </w:r>
    </w:p>
    <w:p>
      <w:pPr>
        <w:pStyle w:val="BodyText"/>
      </w:pPr>
      <w:r>
        <w:t xml:space="preserve">Actual (Q1-Q3)</w:t>
      </w:r>
    </w:p>
    <w:p>
      <w:pPr>
        <w:pStyle w:val="BodyText"/>
      </w:pPr>
      <w:r>
        <w:t xml:space="preserve">Target</w:t>
      </w:r>
    </w:p>
    <w:p>
      <w:pPr>
        <w:pStyle w:val="BodyText"/>
      </w:pPr>
      <w:r>
        <w:t xml:space="preserve">Variance</w:t>
      </w:r>
    </w:p>
    <w:p>
      <w:pPr>
        <w:pStyle w:val="BodyText"/>
      </w:pPr>
      <w:r>
        <w:t xml:space="preserve">Revenue from Academic Researchers (London)</w:t>
      </w:r>
    </w:p>
    <w:p>
      <w:pPr>
        <w:pStyle w:val="BodyText"/>
      </w:pPr>
      <w:r>
        <w:t xml:space="preserve">£2,487,500</w:t>
      </w:r>
    </w:p>
    <w:p>
      <w:pPr>
        <w:pStyle w:val="BodyText"/>
      </w:pPr>
      <w:r>
        <w:t xml:space="preserve">£2,100,000</w:t>
      </w:r>
    </w:p>
    <w:p>
      <w:pPr>
        <w:pStyle w:val="BodyText"/>
      </w:pPr>
      <w:r>
        <w:t xml:space="preserve">+18.5%</w:t>
      </w:r>
    </w:p>
    <w:p>
      <w:pPr>
        <w:pStyle w:val="BodyText"/>
      </w:pPr>
      <w:r>
        <w:t xml:space="preserve">New Institutional Contracts Signed</w:t>
      </w:r>
    </w:p>
    <w:p>
      <w:pPr>
        <w:pStyle w:val="BodyText"/>
      </w:pPr>
      <w:r>
        <w:t xml:space="preserve">32</w:t>
      </w:r>
    </w:p>
    <w:p>
      <w:pPr>
        <w:pStyle w:val="BodyText"/>
      </w:pPr>
      <w:r>
        <w:t xml:space="preserve">&lt;</w:t>
      </w:r>
    </w:p>
    <w:p>
      <w:pPr>
        <w:pStyle w:val="BodyText"/>
      </w:pPr>
      <w:r>
        <w:t xml:space="preserve">25</w:t>
      </w:r>
    </w:p>
    <w:p>
      <w:pPr>
        <w:pStyle w:val="BodyText"/>
      </w:pPr>
      <w:r>
        <w:t xml:space="preserve">Avg. Deal Size (London)</w:t>
      </w:r>
    </w:p>
    <w:p>
      <w:pPr>
        <w:pStyle w:val="BodyText"/>
      </w:pPr>
      <w:r>
        <w:t xml:space="preserve">£78,360</w:t>
      </w:r>
    </w:p>
    <w:p>
      <w:pPr>
        <w:pStyle w:val="BodyText"/>
      </w:pPr>
      <w:r>
        <w:t xml:space="preserve">&lt;</w:t>
      </w:r>
    </w:p>
    <w:p>
      <w:pPr>
        <w:pStyle w:val="BodyText"/>
      </w:pPr>
      <w:r>
        <w:t xml:space="preserve">£68,500</w:t>
      </w:r>
    </w:p>
    <w:p>
      <w:pPr>
        <w:pStyle w:val="BodyText"/>
      </w:pPr>
      <w:r>
        <w:t xml:space="preserve">+14.3%</w:t>
      </w:r>
    </w:p>
    <w:p>
      <w:pPr>
        <w:pStyle w:val="BodyText"/>
      </w:pPr>
      <w:r>
        <w:t xml:space="preserve">Cross-Sell Ratio (to Researchers)</w:t>
      </w:r>
    </w:p>
    <w:p>
      <w:pPr>
        <w:pStyle w:val="BodyText"/>
      </w:pPr>
      <w:r>
        <w:t xml:space="preserve">2.1 products/services per client</w:t>
      </w:r>
    </w:p>
    <w:p>
      <w:pPr>
        <w:pStyle w:val="BodyText"/>
      </w:pPr>
      <w:r>
        <w:t xml:space="preserve">1.8</w:t>
      </w:r>
    </w:p>
    <w:p>
      <w:pPr>
        <w:pStyle w:val="BodyText"/>
      </w:pPr>
      <w:r>
        <w:t xml:space="preserve">+16.7%</w:t>
      </w:r>
    </w:p>
    <w:bookmarkEnd w:id="22"/>
    <w:bookmarkStart w:id="23" w:name="geographic-performance-breakdown"/>
    <w:p>
      <w:pPr>
        <w:pStyle w:val="Heading3"/>
      </w:pPr>
      <w:r>
        <w:t xml:space="preserve">Geographic Performance Breakdown</w:t>
      </w:r>
    </w:p>
    <w:p>
      <w:pPr>
        <w:pStyle w:val="FirstParagraph"/>
      </w:pPr>
      <w:r>
        <w:t xml:space="preserve">Londons academic sales success demonstrates clear regional patterns:</w:t>
      </w:r>
      <w:r>
        <w:t xml:space="preserve"> </w:t>
      </w:r>
      <w:r>
        <w:t xml:space="preserve">• Central London (City of Westminster, Camden): 42% of total revenue (strongest for high-value data analytics tools)</w:t>
      </w:r>
      <w:r>
        <w:t xml:space="preserve"> </w:t>
      </w:r>
      <w:r>
        <w:t xml:space="preserve">• South East London (Lewisham, Croydon): 28% revenue growth from collaborative research grants</w:t>
      </w:r>
      <w:r>
        <w:t xml:space="preserve"> </w:t>
      </w:r>
      <w:r>
        <w:t xml:space="preserve">• University Hubs: Imperial College London (+31%), UCL (+27%), King's College London (+24%) driving premium product adoption</w:t>
      </w:r>
    </w:p>
    <w:bookmarkEnd w:id="23"/>
    <w:bookmarkEnd w:id="24"/>
    <w:bookmarkStart w:id="26" w:name="product-category-performance-analysis"/>
    <w:p>
      <w:pPr>
        <w:pStyle w:val="Heading2"/>
      </w:pPr>
      <w:r>
        <w:t xml:space="preserve">Product Category Performance Analysis</w:t>
      </w:r>
    </w:p>
    <w:bookmarkStart w:id="25" w:name="X51881441639d78cca526e86f34ef5e3c31d9139"/>
    <w:p>
      <w:pPr>
        <w:pStyle w:val="Heading3"/>
      </w:pPr>
      <w:r>
        <w:t xml:space="preserve">Top Performing Solutions for Academic Researchers</w:t>
      </w:r>
    </w:p>
    <w:p>
      <w:pPr>
        <w:numPr>
          <w:ilvl w:val="0"/>
          <w:numId w:val="1001"/>
        </w:numPr>
        <w:pStyle w:val="Compact"/>
      </w:pPr>
      <w:r>
        <w:rPr>
          <w:bCs/>
          <w:b/>
        </w:rPr>
        <w:t xml:space="preserve">Research Data Management Platforms (RDMP):</w:t>
      </w:r>
      <w:r>
        <w:t xml:space="preserve"> </w:t>
      </w:r>
      <w:r>
        <w:t xml:space="preserve">41% of total revenue. Demand surged due to UKRI's new data management requirements in 2023. London-based researchers purchased 67% more licenses than non-London counterparts.</w:t>
      </w:r>
    </w:p>
    <w:p>
      <w:pPr>
        <w:numPr>
          <w:ilvl w:val="0"/>
          <w:numId w:val="1001"/>
        </w:numPr>
        <w:pStyle w:val="Compact"/>
      </w:pPr>
      <w:r>
        <w:rPr>
          <w:bCs/>
          <w:b/>
        </w:rPr>
        <w:t xml:space="preserve">Specialized Academic Journals Access:</w:t>
      </w:r>
      <w:r>
        <w:t xml:space="preserve"> </w:t>
      </w:r>
      <w:r>
        <w:t xml:space="preserve">Critical for publication metrics. Used as a strategic entry point; 89% of journal subscribers later purchased complementary analytics tools.</w:t>
      </w:r>
    </w:p>
    <w:p>
      <w:pPr>
        <w:numPr>
          <w:ilvl w:val="0"/>
          <w:numId w:val="1001"/>
        </w:numPr>
        <w:pStyle w:val="Compact"/>
      </w:pPr>
      <w:r>
        <w:rPr>
          <w:bCs/>
          <w:b/>
        </w:rPr>
        <w:t xml:space="preserve">Collaboration Suites:</w:t>
      </w:r>
      <w:r>
        <w:t xml:space="preserve"> </w:t>
      </w:r>
      <w:r>
        <w:t xml:space="preserve">Grew 52% YoY due to London's research consortiums (e.g., London BioScience Innovation Centre). Includes secure cloud environments for multi-institution projects.</w:t>
      </w:r>
    </w:p>
    <w:p>
      <w:pPr>
        <w:numPr>
          <w:ilvl w:val="0"/>
          <w:numId w:val="1001"/>
        </w:numPr>
        <w:pStyle w:val="Compact"/>
      </w:pPr>
      <w:r>
        <w:rPr>
          <w:bCs/>
          <w:b/>
        </w:rPr>
        <w:t xml:space="preserve">Grant Writing Analytics:</w:t>
      </w:r>
      <w:r>
        <w:t xml:space="preserve"> </w:t>
      </w:r>
      <w:r>
        <w:t xml:space="preserve">Highest margin product (78% gross margin) with exceptional adoption at UCL and King's College where funding competition is intense.</w:t>
      </w:r>
    </w:p>
    <w:bookmarkEnd w:id="25"/>
    <w:bookmarkEnd w:id="26"/>
    <w:bookmarkStart w:id="27" w:name="Xa4b64634a6e036e436e69dcb1c9ab043e564ebc"/>
    <w:p>
      <w:pPr>
        <w:pStyle w:val="Heading2"/>
      </w:pPr>
      <w:r>
        <w:t xml:space="preserve">Critical Success Factors in London Academic Sales</w:t>
      </w:r>
    </w:p>
    <w:p>
      <w:pPr>
        <w:pStyle w:val="FirstParagraph"/>
      </w:pPr>
      <w:r>
        <w:t xml:space="preserve">Our sales team identified three non-negotiable elements for closing deals with Academic Researchers in United Kingdom London:</w:t>
      </w:r>
    </w:p>
    <w:p>
      <w:pPr>
        <w:numPr>
          <w:ilvl w:val="0"/>
          <w:numId w:val="1002"/>
        </w:numPr>
        <w:pStyle w:val="Compact"/>
      </w:pPr>
      <w:r>
        <w:rPr>
          <w:bCs/>
          <w:b/>
        </w:rPr>
        <w:t xml:space="preserve">Understanding the "Funding Cycle":</w:t>
      </w:r>
      <w:r>
        <w:t xml:space="preserve"> </w:t>
      </w:r>
      <w:r>
        <w:t xml:space="preserve">Successful pitches align with university research office deadlines (typically 6-8 months before grant submissions). Our London sales representatives now schedule consultations during October-March to coincide with funding rounds.</w:t>
      </w:r>
    </w:p>
    <w:p>
      <w:pPr>
        <w:numPr>
          <w:ilvl w:val="0"/>
          <w:numId w:val="1002"/>
        </w:numPr>
        <w:pStyle w:val="Compact"/>
      </w:pPr>
      <w:r>
        <w:rPr>
          <w:bCs/>
          <w:b/>
        </w:rPr>
        <w:t xml:space="preserve">Institutional Integration:</w:t>
      </w:r>
      <w:r>
        <w:t xml:space="preserve"> </w:t>
      </w:r>
      <w:r>
        <w:t xml:space="preserve">Solutions must seamlessly integrate with London universities' existing systems (e.g., UCL's "MyResearch" portal, Imperial's "iFind"). 76% of our top deals included customized API integrations at no additional cost.</w:t>
      </w:r>
    </w:p>
    <w:p>
      <w:pPr>
        <w:numPr>
          <w:ilvl w:val="0"/>
          <w:numId w:val="1002"/>
        </w:numPr>
        <w:pStyle w:val="Compact"/>
      </w:pPr>
      <w:r>
        <w:rPr>
          <w:bCs/>
          <w:b/>
        </w:rPr>
        <w:t xml:space="preserve">Peer Validation:</w:t>
      </w:r>
      <w:r>
        <w:t xml:space="preserve"> </w:t>
      </w:r>
      <w:r>
        <w:t xml:space="preserve">Academic researchers prioritize products used by their peers. Our London team leverages case studies from leading London institutions (e.g., "How Cancer Research UK used our platform to accelerate 30% of their 2023 publications").</w:t>
      </w:r>
    </w:p>
    <w:bookmarkEnd w:id="27"/>
    <w:bookmarkStart w:id="28" w:name="X465670f776ddaebfcf24ec1d132f1571886e400"/>
    <w:p>
      <w:pPr>
        <w:pStyle w:val="Heading2"/>
      </w:pPr>
      <w:r>
        <w:t xml:space="preserve">Challenges in the United Kingdom London Academic Market</w:t>
      </w:r>
    </w:p>
    <w:p>
      <w:pPr>
        <w:pStyle w:val="FirstParagraph"/>
      </w:pPr>
      <w:r>
        <w:t xml:space="preserve">Despite strong performance, significant challenges persist:</w:t>
      </w:r>
    </w:p>
    <w:p>
      <w:pPr>
        <w:numPr>
          <w:ilvl w:val="0"/>
          <w:numId w:val="1003"/>
        </w:numPr>
        <w:pStyle w:val="Compact"/>
      </w:pPr>
      <w:r>
        <w:rPr>
          <w:bCs/>
          <w:b/>
        </w:rPr>
        <w:t xml:space="preserve">Budget Volatility:</w:t>
      </w:r>
      <w:r>
        <w:t xml:space="preserve"> </w:t>
      </w:r>
      <w:r>
        <w:t xml:space="preserve">London institutions face 18-24 month funding horizons due to UKRI's competitive grant model. Sales cycles now average 11 months compared to industry standard of 7.</w:t>
      </w:r>
    </w:p>
    <w:p>
      <w:pPr>
        <w:numPr>
          <w:ilvl w:val="0"/>
          <w:numId w:val="1003"/>
        </w:numPr>
        <w:pStyle w:val="Compact"/>
      </w:pPr>
      <w:r>
        <w:rPr>
          <w:bCs/>
          <w:b/>
        </w:rPr>
        <w:t xml:space="preserve">Compliance Complexity:</w:t>
      </w:r>
      <w:r>
        <w:t xml:space="preserve"> </w:t>
      </w:r>
      <w:r>
        <w:t xml:space="preserve">GDPR and UKRI's new data sovereignty rules require product modifications that delay implementation by 3-4 weeks in London contracts.</w:t>
      </w:r>
    </w:p>
    <w:p>
      <w:pPr>
        <w:numPr>
          <w:ilvl w:val="0"/>
          <w:numId w:val="1003"/>
        </w:numPr>
        <w:pStyle w:val="Compact"/>
      </w:pPr>
      <w:r>
        <w:rPr>
          <w:bCs/>
          <w:b/>
        </w:rPr>
        <w:t xml:space="preserve">Competitive Landscape:</w:t>
      </w:r>
      <w:r>
        <w:t xml:space="preserve"> </w:t>
      </w:r>
      <w:r>
        <w:t xml:space="preserve">Local competitors like "London Research Solutions" have captured 15% market share by offering institutional discounts for bulk purchases – a tactic requiring our sales team to develop new pricing models.</w:t>
      </w:r>
    </w:p>
    <w:bookmarkEnd w:id="28"/>
    <w:bookmarkStart w:id="30" w:name="strategic-recommendations"/>
    <w:p>
      <w:pPr>
        <w:pStyle w:val="Heading2"/>
      </w:pPr>
      <w:r>
        <w:t xml:space="preserve">Strategic Recommendations</w:t>
      </w:r>
    </w:p>
    <w:bookmarkStart w:id="29" w:name="for-immediate-implementation-q4-2023"/>
    <w:p>
      <w:pPr>
        <w:pStyle w:val="Heading3"/>
      </w:pPr>
      <w:r>
        <w:t xml:space="preserve">For Immediate Implementation (Q4 2023)</w:t>
      </w:r>
    </w:p>
    <w:p>
      <w:pPr>
        <w:numPr>
          <w:ilvl w:val="0"/>
          <w:numId w:val="1004"/>
        </w:numPr>
        <w:pStyle w:val="Compact"/>
      </w:pPr>
      <w:r>
        <w:rPr>
          <w:bCs/>
          <w:b/>
        </w:rPr>
        <w:t xml:space="preserve">Launch London-Specific "Research Accelerator" Bundle:</w:t>
      </w:r>
      <w:r>
        <w:t xml:space="preserve"> </w:t>
      </w:r>
      <w:r>
        <w:t xml:space="preserve">Package data management + grant analytics + collaboration tools at 15% discount for institutions submitting UKRI applications before December 1st. Targets the critical October funding window.</w:t>
      </w:r>
    </w:p>
    <w:p>
      <w:pPr>
        <w:numPr>
          <w:ilvl w:val="0"/>
          <w:numId w:val="1004"/>
        </w:numPr>
        <w:pStyle w:val="Compact"/>
      </w:pPr>
      <w:r>
        <w:rPr>
          <w:bCs/>
          <w:b/>
        </w:rPr>
        <w:t xml:space="preserve">Establish City of London Research Advisory Board:</w:t>
      </w:r>
      <w:r>
        <w:t xml:space="preserve"> </w:t>
      </w:r>
      <w:r>
        <w:t xml:space="preserve">Recruit 8 leading Academic Researchers from top London universities to co-develop product roadmap. This builds trust and provides real-time market intelligence.</w:t>
      </w:r>
    </w:p>
    <w:p>
      <w:pPr>
        <w:numPr>
          <w:ilvl w:val="0"/>
          <w:numId w:val="1004"/>
        </w:numPr>
        <w:pStyle w:val="Compact"/>
      </w:pPr>
      <w:r>
        <w:rPr>
          <w:bCs/>
          <w:b/>
        </w:rPr>
        <w:t xml:space="preserve">Create "London Impact" Marketing Content:</w:t>
      </w:r>
      <w:r>
        <w:t xml:space="preserve"> </w:t>
      </w:r>
      <w:r>
        <w:t xml:space="preserve">Produce video testimonials featuring researchers from UCL, Imperial, and King's College demonstrating how our solutions contributed to specific publications or grant awards.</w:t>
      </w:r>
    </w:p>
    <w:bookmarkEnd w:id="29"/>
    <w:bookmarkEnd w:id="30"/>
    <w:bookmarkStart w:id="31" w:name="Xf2e076dc3525d912a46b6d009afcc95e6bcf4b0"/>
    <w:p>
      <w:pPr>
        <w:pStyle w:val="Heading2"/>
      </w:pPr>
      <w:r>
        <w:t xml:space="preserve">Conclusion: The Future of Academic Researcher Sales in United Kingdom London</w:t>
      </w:r>
    </w:p>
    <w:p>
      <w:pPr>
        <w:pStyle w:val="FirstParagraph"/>
      </w:pPr>
      <w:r>
        <w:t xml:space="preserve">The Academic Researcher segment in London represents a high-value, high-growth frontier for our business. Our Q3 results confirm that sales success hinges on moving beyond transactional relationships to becoming embedded partners within the research ecosystem. By mastering the unique rhythms of London's academic market – from funding cycles to peer validation dynamics – we position ourselves as indispensable enablers of research excellence across United Kingdom London.</w:t>
      </w:r>
    </w:p>
    <w:p>
      <w:pPr>
        <w:pStyle w:val="BodyText"/>
      </w:pPr>
      <w:r>
        <w:t xml:space="preserve">Looking ahead, we project 22% revenue growth for Academic Researcher sales in London through Q4 2023 by executing these targeted strategies. The key differentiator will be our ability to demonstrate tangible ROI through the lens of what matters most to Academic Researchers: accelerating discovery, securing competitive funding, and enhancing publication impact within the prestigious United Kingdom London academic community.</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United Kingdom London</dc:title>
  <dc:creator/>
  <dc:language>en</dc:language>
  <cp:keywords/>
  <dcterms:created xsi:type="dcterms:W3CDTF">2026-07-24T10:19:23Z</dcterms:created>
  <dcterms:modified xsi:type="dcterms:W3CDTF">2026-07-24T10:19:23Z</dcterms:modified>
</cp:coreProperties>
</file>

<file path=docProps/custom.xml><?xml version="1.0" encoding="utf-8"?>
<Properties xmlns="http://schemas.openxmlformats.org/officeDocument/2006/custom-properties" xmlns:vt="http://schemas.openxmlformats.org/officeDocument/2006/docPropsVTypes"/>
</file>