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Chicago,</w:t>
      </w:r>
      <w:r>
        <w:t xml:space="preserve"> </w:t>
      </w:r>
      <w:r>
        <w:t xml:space="preserve">United</w:t>
      </w:r>
      <w:r>
        <w:t xml:space="preserve"> </w:t>
      </w:r>
      <w:r>
        <w:t xml:space="preserve">States</w:t>
      </w:r>
    </w:p>
    <w:bookmarkStart w:id="29" w:name="X0d4aa9ec3508969b00a5e8d7e7b1072e7104fb6"/>
    <w:p>
      <w:pPr>
        <w:pStyle w:val="Heading1"/>
      </w:pPr>
      <w:r>
        <w:t xml:space="preserve">Comprehensive Sales Performance Report: Academic Researcher Market Engagement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Purpose:</w:t>
      </w:r>
      <w:r>
        <w:t xml:space="preserve"> </w:t>
      </w:r>
      <w:r>
        <w:t xml:space="preserve">Analysis of Sales Performance Targeting Academic Researchers in Chicago, United States</w:t>
      </w:r>
    </w:p>
    <w:bookmarkStart w:id="20" w:name="i.-executive-summary"/>
    <w:p>
      <w:pPr>
        <w:pStyle w:val="Heading2"/>
      </w:pPr>
      <w:r>
        <w:t xml:space="preserve">I. Executive Summary</w:t>
      </w:r>
    </w:p>
    <w:p>
      <w:pPr>
        <w:pStyle w:val="FirstParagraph"/>
      </w:pPr>
      <w:r>
        <w:t xml:space="preserve">This Sales Report details the strategic engagement with Academic Researcher professionals across Chicago, Illinois—a critical hub within the United States academic landscape. The quarter ending September 30, 2023 demonstrates a 17% year-over-year increase in sales velocity to this specialized segment, totaling $1.84M in new contracts. Chicago’s concentration of world-class research institutions (including University of Chicago, Northwestern University, and Argonne National Laboratory) positions it as our highest-potential market for academic-sector solutions. This performance underscores the efficacy of our tailored engagement strategy for Academic Researchers operating within the United States Chicago ecosystem.</w:t>
      </w:r>
    </w:p>
    <w:bookmarkEnd w:id="20"/>
    <w:bookmarkStart w:id="21" w:name="Xaa2212ebea68b358eeadb2c4c7933879fb48512"/>
    <w:p>
      <w:pPr>
        <w:pStyle w:val="Heading2"/>
      </w:pPr>
      <w:r>
        <w:t xml:space="preserve">II. Market Context: Why Academic Researchers in United States Chicago?</w:t>
      </w:r>
    </w:p>
    <w:p>
      <w:pPr>
        <w:pStyle w:val="FirstParagraph"/>
      </w:pPr>
      <w:r>
        <w:t xml:space="preserve">Chicago’s academic research community represents a $4.2B annual expenditure sector within the United States, driven by federal grant funding, private partnerships, and institutional investments. The city hosts 18+ major research universities with over 650 active Academic Researchers engaged in STEM, social sciences, and healthcare innovation. This concentration creates an unparalleled opportunity for vendors offering specialized research solutions. Crucially, our Chicago-based sales team has developed deep domain expertise in navigating the unique procurement cycles of Academic Researchers—understanding that their decisions prioritize long-term scientific impact over immediate cost savings.</w:t>
      </w:r>
    </w:p>
    <w:p>
      <w:pPr>
        <w:pStyle w:val="BodyText"/>
      </w:pPr>
      <w:r>
        <w:t xml:space="preserve">Notably, the University of Chicago’s Pritzker School of Molecular Engineering and Northwestern’s Feinberg School of Medicine exemplify how Academic Researchers increasingly seek integrated solutions for data management, collaborative tools, and compliance systems. This trend has elevated our sales strategy beyond traditional product pitching to becoming trusted research partners within the United States Chicago academic network.</w:t>
      </w:r>
    </w:p>
    <w:bookmarkEnd w:id="21"/>
    <w:bookmarkStart w:id="24" w:name="iii.-sales-performance-highlights"/>
    <w:p>
      <w:pPr>
        <w:pStyle w:val="Heading2"/>
      </w:pPr>
      <w:r>
        <w:t xml:space="preserve">III. Sales Performance Highlights</w:t>
      </w:r>
    </w:p>
    <w:bookmarkStart w:id="22" w:name="X3098b853cd8fca9702ba73dda4b2bb3babf10c1"/>
    <w:p>
      <w:pPr>
        <w:pStyle w:val="Heading3"/>
      </w:pPr>
      <w:r>
        <w:t xml:space="preserve">A. Channel Effectiveness by Academic Institution Type</w:t>
      </w:r>
    </w:p>
    <w:p>
      <w:pPr>
        <w:pStyle w:val="FirstParagraph"/>
      </w:pPr>
      <w:r>
        <w:t xml:space="preserve">Institution Type</w:t>
      </w:r>
    </w:p>
    <w:p>
      <w:pPr>
        <w:pStyle w:val="BodyText"/>
      </w:pPr>
      <w:r>
        <w:t xml:space="preserve">Lead Generation Rate (Q3)</w:t>
      </w:r>
    </w:p>
    <w:p>
      <w:pPr>
        <w:pStyle w:val="BodyText"/>
      </w:pPr>
      <w:r>
        <w:t xml:space="preserve">Conversion Rate to Contract</w:t>
      </w:r>
    </w:p>
    <w:p>
      <w:pPr>
        <w:pStyle w:val="BodyText"/>
      </w:pPr>
      <w:r>
        <w:t xml:space="preserve">Avg. Deal Size</w:t>
      </w:r>
    </w:p>
    <w:p>
      <w:pPr>
        <w:pStyle w:val="BodyText"/>
      </w:pPr>
      <w:r>
        <w:t xml:space="preserve">Research Universities (e.g., UChicago, NU)</w:t>
      </w:r>
    </w:p>
    <w:p>
      <w:pPr>
        <w:pStyle w:val="BodyText"/>
      </w:pPr>
      <w:r>
        <w:t xml:space="preserve">38%</w:t>
      </w:r>
    </w:p>
    <w:p>
      <w:pPr>
        <w:pStyle w:val="BodyText"/>
      </w:pPr>
      <w:r>
        <w:t xml:space="preserve">42%</w:t>
      </w:r>
    </w:p>
    <w:p>
      <w:pPr>
        <w:pStyle w:val="BodyText"/>
      </w:pPr>
      <w:r>
        <w:t xml:space="preserve">$78,500</w:t>
      </w:r>
    </w:p>
    <w:p>
      <w:pPr>
        <w:pStyle w:val="BodyText"/>
      </w:pPr>
      <w:r>
        <w:t xml:space="preserve">National Labs (e.g., Argonne, Fermilab)</w:t>
      </w:r>
    </w:p>
    <w:p>
      <w:pPr>
        <w:pStyle w:val="BodyText"/>
      </w:pPr>
      <w:r>
        <w:t xml:space="preserve">29%</w:t>
      </w:r>
    </w:p>
    <w:p>
      <w:pPr>
        <w:pStyle w:val="BodyText"/>
      </w:pPr>
      <w:r>
        <w:t xml:space="preserve">36%</w:t>
      </w:r>
    </w:p>
    <w:p>
      <w:pPr>
        <w:pStyle w:val="BodyText"/>
      </w:pPr>
      <w:r>
        <w:t xml:space="preserve">Private Research Institutes (e.g., Rosalind Franklin University)</w:t>
      </w:r>
    </w:p>
    <w:p>
      <w:pPr>
        <w:pStyle w:val="BodyText"/>
      </w:pPr>
      <w:r>
        <w:t xml:space="preserve">45%</w:t>
      </w:r>
    </w:p>
    <w:p>
      <w:pPr>
        <w:pStyle w:val="BodyText"/>
      </w:pPr>
      <w:r>
        <w:t xml:space="preserve">28%</w:t>
      </w:r>
    </w:p>
    <w:p>
      <w:pPr>
        <w:pStyle w:val="BodyText"/>
      </w:pPr>
      <w:r>
        <w:t xml:space="preserve">The 42% conversion rate for university Academic Researchers is 31% above industry average, attributed to our specialized "Researcher Success" onboarding program. This initiative includes grant-writing support and IRB compliance guidance—directly addressing pain points identified in our Chicago Academic Researcher surveys.</w:t>
      </w:r>
    </w:p>
    <w:bookmarkEnd w:id="22"/>
    <w:bookmarkStart w:id="23" w:name="b.-key-product-adoption-trends"/>
    <w:p>
      <w:pPr>
        <w:pStyle w:val="Heading3"/>
      </w:pPr>
      <w:r>
        <w:t xml:space="preserve">B. Key Product Adoption Trends</w:t>
      </w:r>
    </w:p>
    <w:p>
      <w:pPr>
        <w:pStyle w:val="FirstParagraph"/>
      </w:pPr>
      <w:r>
        <w:t xml:space="preserve">Our flagship research analytics platform achieved 89% penetration among target Academic Researchers in Chicago, driven by two strategic shifts:</w:t>
      </w:r>
    </w:p>
    <w:p>
      <w:pPr>
        <w:numPr>
          <w:ilvl w:val="0"/>
          <w:numId w:val="1001"/>
        </w:numPr>
        <w:pStyle w:val="Compact"/>
      </w:pPr>
      <w:r>
        <w:rPr>
          <w:bCs/>
          <w:b/>
        </w:rPr>
        <w:t xml:space="preserve">Compliance Integration:</w:t>
      </w:r>
      <w:r>
        <w:t xml:space="preserve"> </w:t>
      </w:r>
      <w:r>
        <w:t xml:space="preserve">76% of contracts included our FDA/NIH-compliant data module, directly responding to Academic Researchers’ escalating regulatory needs.</w:t>
      </w:r>
    </w:p>
    <w:p>
      <w:pPr>
        <w:numPr>
          <w:ilvl w:val="0"/>
          <w:numId w:val="1001"/>
        </w:numPr>
        <w:pStyle w:val="Compact"/>
      </w:pPr>
      <w:r>
        <w:rPr>
          <w:bCs/>
          <w:b/>
        </w:rPr>
        <w:t xml:space="preserve">Collaboration Suite Add-ons:</w:t>
      </w:r>
      <w:r>
        <w:t xml:space="preserve"> </w:t>
      </w:r>
      <w:r>
        <w:t xml:space="preserve">Demand for multi-institution project tools grew 210% YoY as Chicago-based researchers expanded partnerships across Midwest universities.</w:t>
      </w:r>
    </w:p>
    <w:bookmarkEnd w:id="23"/>
    <w:bookmarkEnd w:id="24"/>
    <w:bookmarkStart w:id="25" w:name="X02a5e49fce5254452325b9e4c89a25c51c94e14"/>
    <w:p>
      <w:pPr>
        <w:pStyle w:val="Heading2"/>
      </w:pPr>
      <w:r>
        <w:t xml:space="preserve">IV. Chicago-Specific Sales Strategy Breakthroughs</w:t>
      </w:r>
    </w:p>
    <w:p>
      <w:pPr>
        <w:pStyle w:val="FirstParagraph"/>
      </w:pPr>
      <w:r>
        <w:rPr>
          <w:bCs/>
          <w:b/>
        </w:rPr>
        <w:t xml:space="preserve">1. Academic Researcher-Centric Events:</w:t>
      </w:r>
      <w:r>
        <w:t xml:space="preserve"> </w:t>
      </w:r>
      <w:r>
        <w:t xml:space="preserve">We hosted three exclusive "Research Innovation Roundtables" at the Museum of Science and Industry, attracting 147 Academic Researchers from United States Chicago institutions. These events shifted our sales approach from product demos to co-creating solutions—resulting in 32% higher deal value than traditional sales cycles.</w:t>
      </w:r>
    </w:p>
    <w:p>
      <w:pPr>
        <w:pStyle w:val="BodyText"/>
      </w:pPr>
      <w:r>
        <w:rPr>
          <w:bCs/>
          <w:b/>
        </w:rPr>
        <w:t xml:space="preserve">2. Grant Funding Alignment:</w:t>
      </w:r>
      <w:r>
        <w:t xml:space="preserve"> </w:t>
      </w:r>
      <w:r>
        <w:t xml:space="preserve">Our partnership with the Chicago Biomedical Consortium (CBC) enables us to pre-qualify solutions for grant applications. This initiative generated $417K in direct sales from Academic Researchers leveraging CBC-funded projects—representing 23% of all Chicago Q3 revenue.</w:t>
      </w:r>
    </w:p>
    <w:p>
      <w:pPr>
        <w:pStyle w:val="BodyText"/>
      </w:pPr>
      <w:r>
        <w:rPr>
          <w:bCs/>
          <w:b/>
        </w:rPr>
        <w:t xml:space="preserve">3. Localized Technical Support:</w:t>
      </w:r>
      <w:r>
        <w:t xml:space="preserve"> </w:t>
      </w:r>
      <w:r>
        <w:t xml:space="preserve">Deployment of our Chicago-based research specialist team (including two former university lab managers) reduced onboarding time by 68%. This hyper-local support directly addresses Academic Researchers’ critical need for domain-specific expertise during implementation.</w:t>
      </w:r>
    </w:p>
    <w:bookmarkEnd w:id="25"/>
    <w:bookmarkStart w:id="26" w:name="v.-challenges-and-strategic-imperatives"/>
    <w:p>
      <w:pPr>
        <w:pStyle w:val="Heading2"/>
      </w:pPr>
      <w:r>
        <w:t xml:space="preserve">V. Challenges and Strategic Imperatives</w:t>
      </w:r>
    </w:p>
    <w:p>
      <w:pPr>
        <w:pStyle w:val="FirstParagraph"/>
      </w:pPr>
      <w:r>
        <w:t xml:space="preserve">Despite strong performance, three challenges require immediate attention in the United States Chicago market:</w:t>
      </w:r>
    </w:p>
    <w:p>
      <w:pPr>
        <w:numPr>
          <w:ilvl w:val="0"/>
          <w:numId w:val="1002"/>
        </w:numPr>
        <w:pStyle w:val="Compact"/>
      </w:pPr>
      <w:r>
        <w:rPr>
          <w:bCs/>
          <w:b/>
        </w:rPr>
        <w:t xml:space="preserve">Competitive Landscape:</w:t>
      </w:r>
      <w:r>
        <w:t xml:space="preserve"> </w:t>
      </w:r>
      <w:r>
        <w:t xml:space="preserve">Traditional academic vendors (e.g., Thermo Fisher) have increased their Chicago presence. Our counter-strategy: Deepening relationships via our "Researcher Advisory Council" with 12+ leading Academic Researchers across Chicago institutions.</w:t>
      </w:r>
    </w:p>
    <w:p>
      <w:pPr>
        <w:numPr>
          <w:ilvl w:val="0"/>
          <w:numId w:val="1002"/>
        </w:numPr>
        <w:pStyle w:val="Compact"/>
      </w:pPr>
      <w:r>
        <w:rPr>
          <w:bCs/>
          <w:b/>
        </w:rPr>
        <w:t xml:space="preserve">Budget Constraints:</w:t>
      </w:r>
      <w:r>
        <w:t xml:space="preserve"> </w:t>
      </w:r>
      <w:r>
        <w:t xml:space="preserve">Federal grant delays impacted 19% of Q3 deals. Solution: Offering flexible payment terms aligned with research funding cycles—adopted by 47% of new Chicago contracts.</w:t>
      </w:r>
    </w:p>
    <w:p>
      <w:pPr>
        <w:numPr>
          <w:ilvl w:val="0"/>
          <w:numId w:val="1002"/>
        </w:numPr>
        <w:pStyle w:val="Compact"/>
      </w:pPr>
      <w:r>
        <w:rPr>
          <w:bCs/>
          <w:b/>
        </w:rPr>
        <w:t xml:space="preserve">Emerging Technology Gaps:</w:t>
      </w:r>
      <w:r>
        <w:t xml:space="preserve"> </w:t>
      </w:r>
      <w:r>
        <w:t xml:space="preserve">Demand for AI-driven research tools surged 200%, but our current offerings lack advanced machine learning modules. Initiative: Accelerated R&amp;D partnership with University of Chicago’s Center for Data Science, targeting Q1 2024 deployment.</w:t>
      </w:r>
    </w:p>
    <w:bookmarkEnd w:id="26"/>
    <w:bookmarkStart w:id="27" w:name="vi.-forward-looking-recommendations"/>
    <w:p>
      <w:pPr>
        <w:pStyle w:val="Heading2"/>
      </w:pPr>
      <w:r>
        <w:t xml:space="preserve">VI. Forward-Looking Recommendations</w:t>
      </w:r>
    </w:p>
    <w:p>
      <w:pPr>
        <w:pStyle w:val="FirstParagraph"/>
      </w:pPr>
      <w:r>
        <w:t xml:space="preserve">To maintain momentum in the Academic Researcher market within United States Chicago, we recommend:</w:t>
      </w:r>
    </w:p>
    <w:p>
      <w:pPr>
        <w:numPr>
          <w:ilvl w:val="0"/>
          <w:numId w:val="1003"/>
        </w:numPr>
        <w:pStyle w:val="Compact"/>
      </w:pPr>
      <w:r>
        <w:rPr>
          <w:bCs/>
          <w:b/>
        </w:rPr>
        <w:t xml:space="preserve">Expand "Chicago Researcher Ambassador" Program:</w:t>
      </w:r>
      <w:r>
        <w:t xml:space="preserve"> </w:t>
      </w:r>
      <w:r>
        <w:t xml:space="preserve">Recruit 5+ high-impact Academic Researchers from key institutions to co-develop sales strategy. This peer-led approach has proven 3x more effective than corporate outreach.</w:t>
      </w:r>
    </w:p>
    <w:p>
      <w:pPr>
        <w:numPr>
          <w:ilvl w:val="0"/>
          <w:numId w:val="1003"/>
        </w:numPr>
        <w:pStyle w:val="Compact"/>
      </w:pPr>
      <w:r>
        <w:rPr>
          <w:bCs/>
          <w:b/>
        </w:rPr>
        <w:t xml:space="preserve">Create Chicago-Specific Grant Playbook:</w:t>
      </w:r>
      <w:r>
        <w:t xml:space="preserve"> </w:t>
      </w:r>
      <w:r>
        <w:t xml:space="preserve">Document step-by-step guidance for aligning our solutions with NIH/NSF grant requirements—addressing a top pain point identified in our Academic Researcher survey (89% requested this resource).</w:t>
      </w:r>
    </w:p>
    <w:p>
      <w:pPr>
        <w:numPr>
          <w:ilvl w:val="0"/>
          <w:numId w:val="1003"/>
        </w:numPr>
        <w:pStyle w:val="Compact"/>
      </w:pPr>
      <w:r>
        <w:rPr>
          <w:bCs/>
          <w:b/>
        </w:rPr>
        <w:t xml:space="preserve">Develop Midwest University Partnership Pipeline:</w:t>
      </w:r>
      <w:r>
        <w:t xml:space="preserve"> </w:t>
      </w:r>
      <w:r>
        <w:t xml:space="preserve">Target 3 new institutional agreements with Chicago-area universities by Q2 2024 to secure exclusive solution access across their research networks.</w:t>
      </w:r>
    </w:p>
    <w:bookmarkEnd w:id="27"/>
    <w:bookmarkStart w:id="28" w:name="vii.-conclusion"/>
    <w:p>
      <w:pPr>
        <w:pStyle w:val="Heading2"/>
      </w:pPr>
      <w:r>
        <w:t xml:space="preserve">VII. Conclusion</w:t>
      </w:r>
    </w:p>
    <w:p>
      <w:pPr>
        <w:pStyle w:val="FirstParagraph"/>
      </w:pPr>
      <w:r>
        <w:t xml:space="preserve">This Sales Report confirms that Chicago represents the United States’ most strategic academic research market for our solutions. The Academic Researcher segment delivered exceptional growth due to our shift from transactional selling to becoming trusted scientific partners—demonstrated through our 17% YoY revenue increase and industry-leading conversion rates. Crucially, this success stems from deep Chicago market intelligence: understanding that Academic Researchers prioritize long-term research outcomes over cost, and that their institutions operate within a unique funding ecosystem requiring tailored commercial approaches.</w:t>
      </w:r>
    </w:p>
    <w:p>
      <w:pPr>
        <w:pStyle w:val="BodyText"/>
      </w:pPr>
      <w:r>
        <w:t xml:space="preserve">As we advance into 2024, our Chicago operations will become the blueprint for academic-sector engagement across all United States markets. By maintaining this researcher-centric focus—embedding ourselves within the fabric of Academic Researcher workflows in Chicago—we project $2.6M in annual revenue from this market by Q4 2024. This is not merely a sales opportunity; it is an investment in accelerating scientific discovery through strategic commercial partnerships with the University of Chicago, Northwestern, and other pillars of United States academic research excellence.</w:t>
      </w:r>
    </w:p>
    <w:p>
      <w:pPr>
        <w:pStyle w:val="BodyText"/>
      </w:pPr>
      <w:r>
        <w:rPr>
          <w:bCs/>
          <w:b/>
        </w:rPr>
        <w:t xml:space="preserve">Prepared By:</w:t>
      </w:r>
      <w:r>
        <w:t xml:space="preserve"> </w:t>
      </w:r>
      <w:r>
        <w:t xml:space="preserve">Strategic Sales Intelligence Group</w:t>
      </w:r>
      <w:r>
        <w:br/>
      </w:r>
      <w:r>
        <w:rPr>
          <w:bCs/>
          <w:b/>
        </w:rPr>
        <w:t xml:space="preserve">Chicago Research Hub Director:</w:t>
      </w:r>
      <w:r>
        <w:t xml:space="preserve"> </w:t>
      </w:r>
      <w:r>
        <w:t xml:space="preserve">Dr. Evelyn Shaw</w:t>
      </w:r>
      <w:r>
        <w:br/>
      </w:r>
      <w:r>
        <w:rPr>
          <w:bCs/>
          <w:b/>
        </w:rPr>
        <w:t xml:space="preserve">Contact:</w:t>
      </w:r>
      <w:r>
        <w:t xml:space="preserve"> </w:t>
      </w:r>
      <w:r>
        <w:t xml:space="preserve">e.shaw@researchsales.com | (312)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Chicago, United States</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