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Report:</w:t>
      </w:r>
      <w:r>
        <w:t xml:space="preserve"> </w:t>
      </w:r>
      <w:r>
        <w:t xml:space="preserve">Houston,</w:t>
      </w:r>
      <w:r>
        <w:t xml:space="preserve"> </w:t>
      </w:r>
      <w:r>
        <w:t xml:space="preserve">United</w:t>
      </w:r>
      <w:r>
        <w:t xml:space="preserve"> </w:t>
      </w:r>
      <w:r>
        <w:t xml:space="preserve">States</w:t>
      </w:r>
    </w:p>
    <w:bookmarkStart w:id="29" w:name="academic-researcher-sales-report"/>
    <w:p>
      <w:pPr>
        <w:pStyle w:val="Heading1"/>
      </w:pPr>
      <w:r>
        <w:t xml:space="preserve">Academic Researcher Sales Report</w:t>
      </w:r>
    </w:p>
    <w:bookmarkStart w:id="28" w:name="X1e077a48eaff1e3bc286f3a1e9af43d81dcb9b7"/>
    <w:p>
      <w:pPr>
        <w:pStyle w:val="Heading2"/>
      </w:pPr>
      <w:r>
        <w:t xml:space="preserve">Houston, United States - Fiscal Year 2023-2024</w:t>
      </w:r>
    </w:p>
    <w:p>
      <w:pPr>
        <w:pStyle w:val="FirstParagraph"/>
      </w:pPr>
      <w:r>
        <w:t xml:space="preserve">Prepared for the Research Administration Office, University of Houston</w:t>
      </w:r>
    </w:p>
    <w:bookmarkStart w:id="20" w:name="executive-summary"/>
    <w:p>
      <w:pPr>
        <w:pStyle w:val="Heading3"/>
      </w:pPr>
      <w:r>
        <w:t xml:space="preserve">Executive Summary</w:t>
      </w:r>
    </w:p>
    <w:p>
      <w:pPr>
        <w:pStyle w:val="FirstParagraph"/>
      </w:pPr>
      <w:r>
        <w:t xml:space="preserve">This comprehensive Sales Report details the research funding acquisition and industry partnership activities conducted by our Academic Researcher team within the United States Houston ecosystem. As a critical component of our institution's strategic growth, this report demonstrates how Houston-based researchers have successfully navigated the unique academic-industrial landscape to secure $14.7 million in new funding streams during FY2023-2024, representing a 18% increase over previous fiscal year. This performance underscores Houston's position as a premier research hub and validates our targeted approach to securing external investment through rigorous sales methodologies adapted for academic excellence.</w:t>
      </w:r>
    </w:p>
    <w:bookmarkEnd w:id="20"/>
    <w:bookmarkStart w:id="21" w:name="Xf47e5f9f0ce0c151d489815a5675559fcaf2260"/>
    <w:p>
      <w:pPr>
        <w:pStyle w:val="Heading3"/>
      </w:pPr>
      <w:r>
        <w:t xml:space="preserve">I. Houston Research Landscape &amp; Market Position</w:t>
      </w:r>
    </w:p>
    <w:p>
      <w:pPr>
        <w:pStyle w:val="FirstParagraph"/>
      </w:pPr>
      <w:r>
        <w:t xml:space="preserve">The United States Houston metropolitan area has emerged as a $28 billion research and development hub (per 2023 U.S. Census Bureau data), featuring the nation's third-largest concentration of academic researchers. Our Academic Researcher team operates within this dynamic environment, leveraging Houston's unique assets: NASA Johnson Space Center, Texas Medical Center (world's largest medical complex), and energy sector innovation centers. This report details how our researchers have transformed Houston's competitive research market into a sustainable revenue pipeline through specialized sales strategies.</w:t>
      </w:r>
    </w:p>
    <w:bookmarkEnd w:id="21"/>
    <w:bookmarkStart w:id="22" w:name="ii.-key-sales-performance-metrics"/>
    <w:p>
      <w:pPr>
        <w:pStyle w:val="Heading3"/>
      </w:pPr>
      <w:r>
        <w:t xml:space="preserve">II. Key Sales Performance Metrics</w:t>
      </w:r>
    </w:p>
    <w:p>
      <w:pPr>
        <w:pStyle w:val="FirstParagraph"/>
      </w:pPr>
      <w:r>
        <w:t xml:space="preserve">Performance Indicator</w:t>
      </w:r>
    </w:p>
    <w:p>
      <w:pPr>
        <w:pStyle w:val="BodyText"/>
      </w:pPr>
      <w:r>
        <w:t xml:space="preserve">FY2023-24</w:t>
      </w:r>
    </w:p>
    <w:p>
      <w:pPr>
        <w:pStyle w:val="BodyText"/>
      </w:pPr>
      <w:r>
        <w:t xml:space="preserve">Previous Year</w:t>
      </w:r>
    </w:p>
    <w:p>
      <w:pPr>
        <w:pStyle w:val="BodyText"/>
      </w:pPr>
      <w:r>
        <w:t xml:space="preserve">Y-o-Y Change</w:t>
      </w:r>
    </w:p>
    <w:p>
      <w:pPr>
        <w:pStyle w:val="BodyText"/>
      </w:pPr>
      <w:r>
        <w:t xml:space="preserve">New Grant Awards (Total)</w:t>
      </w:r>
    </w:p>
    <w:p>
      <w:pPr>
        <w:pStyle w:val="BodyText"/>
      </w:pPr>
      <w:r>
        <w:t xml:space="preserve">$12.1M</w:t>
      </w:r>
    </w:p>
    <w:p>
      <w:pPr>
        <w:pStyle w:val="BodyText"/>
      </w:pPr>
      <w:r>
        <w:t xml:space="preserve">$9.5M</w:t>
      </w:r>
    </w:p>
    <w:p>
      <w:pPr>
        <w:pStyle w:val="BodyText"/>
      </w:pPr>
      <w:r>
        <w:t xml:space="preserve">+27.4%</w:t>
      </w:r>
    </w:p>
    <w:p>
      <w:pPr>
        <w:pStyle w:val="BodyText"/>
      </w:pPr>
      <w:r>
        <w:t xml:space="preserve">Industry Partnership Contracts</w:t>
      </w:r>
    </w:p>
    <w:p>
      <w:pPr>
        <w:pStyle w:val="BodyText"/>
      </w:pPr>
      <w:r>
        <w:t xml:space="preserve">38 Agreements</w:t>
      </w:r>
    </w:p>
    <w:p>
      <w:pPr>
        <w:pStyle w:val="BodyText"/>
      </w:pPr>
      <w:r>
        <w:t xml:space="preserve">26 Agreements</w:t>
      </w:r>
    </w:p>
    <w:p>
      <w:pPr>
        <w:pStyle w:val="BodyText"/>
      </w:pPr>
      <w:r>
        <w:t xml:space="preserve">+46.2%</w:t>
      </w:r>
    </w:p>
    <w:p>
      <w:pPr>
        <w:pStyle w:val="BodyText"/>
      </w:pPr>
      <w:r>
        <w:t xml:space="preserve">Award-to-Proposal Ratio (Industry)</w:t>
      </w:r>
    </w:p>
    <w:p>
      <w:pPr>
        <w:pStyle w:val="BodyText"/>
      </w:pPr>
      <w:r>
        <w:t xml:space="preserve">31.7%</w:t>
      </w:r>
    </w:p>
    <w:p>
      <w:pPr>
        <w:pStyle w:val="BodyText"/>
      </w:pPr>
      <w:r>
        <w:t xml:space="preserve">24.3%</w:t>
      </w:r>
    </w:p>
    <w:p>
      <w:pPr>
        <w:pStyle w:val="BodyText"/>
      </w:pPr>
      <w:r>
        <w:t xml:space="preserve">+7.4 pts</w:t>
      </w:r>
    </w:p>
    <w:p>
      <w:pPr>
        <w:pStyle w:val="BodyText"/>
      </w:pPr>
      <w:r>
        <w:t xml:space="preserve">Technology Transfer Revenue (Licensing)</w:t>
      </w:r>
    </w:p>
    <w:p>
      <w:pPr>
        <w:pStyle w:val="BodyText"/>
      </w:pPr>
      <w:r>
        <w:t xml:space="preserve">$2.6M</w:t>
      </w:r>
    </w:p>
    <w:p>
      <w:pPr>
        <w:pStyle w:val="BodyText"/>
      </w:pPr>
      <w:r>
        <w:t xml:space="preserve">$1.9M</w:t>
      </w:r>
    </w:p>
    <w:p>
      <w:pPr>
        <w:pStyle w:val="BodyText"/>
      </w:pPr>
      <w:r>
        <w:t xml:space="preserve">+36.8%</w:t>
      </w:r>
    </w:p>
    <w:bookmarkEnd w:id="22"/>
    <w:bookmarkStart w:id="23" w:name="Xb9fb86e29154c0102969714e031e71cf8294d12"/>
    <w:p>
      <w:pPr>
        <w:pStyle w:val="Heading3"/>
      </w:pPr>
      <w:r>
        <w:t xml:space="preserve">III. Houston-Specific Sales Strategy Execution</w:t>
      </w:r>
    </w:p>
    <w:p>
      <w:pPr>
        <w:pStyle w:val="FirstParagraph"/>
      </w:pPr>
      <w:r>
        <w:t xml:space="preserve">Our Academic Researcher team's success stems from a Houston-centric sales approach that integrates local market intelligence with academic excellence. Key strategies include:</w:t>
      </w:r>
    </w:p>
    <w:p>
      <w:pPr>
        <w:numPr>
          <w:ilvl w:val="0"/>
          <w:numId w:val="1001"/>
        </w:numPr>
        <w:pStyle w:val="Compact"/>
      </w:pPr>
      <w:r>
        <w:rPr>
          <w:bCs/>
          <w:b/>
        </w:rPr>
        <w:t xml:space="preserve">Industry Alignment Workshops:</w:t>
      </w:r>
      <w:r>
        <w:t xml:space="preserve"> </w:t>
      </w:r>
      <w:r>
        <w:t xml:space="preserve">Quarterly events with Houston Energy Sector Consortium (HES) and TMC Innovation Institute to co-develop research proposals addressing local industry pain points. Example: $3.2M DOE-funded project with ExxonMobil on carbon capture, directly responding to Houston's energy transition priorities.</w:t>
      </w:r>
    </w:p>
    <w:p>
      <w:pPr>
        <w:numPr>
          <w:ilvl w:val="0"/>
          <w:numId w:val="1001"/>
        </w:numPr>
        <w:pStyle w:val="Compact"/>
      </w:pPr>
      <w:r>
        <w:rPr>
          <w:bCs/>
          <w:b/>
        </w:rPr>
        <w:t xml:space="preserve">Geographic Sales Mapping:</w:t>
      </w:r>
      <w:r>
        <w:t xml:space="preserve"> </w:t>
      </w:r>
      <w:r>
        <w:t xml:space="preserve">Using Houston-specific data analytics to target funding sources within 100 miles of our campus, capturing 74% of all new awards from regionally focused programs like Texas Emerging Technology Fund.</w:t>
      </w:r>
    </w:p>
    <w:p>
      <w:pPr>
        <w:numPr>
          <w:ilvl w:val="0"/>
          <w:numId w:val="1001"/>
        </w:numPr>
        <w:pStyle w:val="Compact"/>
      </w:pPr>
      <w:r>
        <w:rPr>
          <w:bCs/>
          <w:b/>
        </w:rPr>
        <w:t xml:space="preserve">Community Engagement Integration:</w:t>
      </w:r>
      <w:r>
        <w:t xml:space="preserve"> </w:t>
      </w:r>
      <w:r>
        <w:t xml:space="preserve">Embedding Houston community needs into research proposals (e.g., flood resilience studies for Harris County) which increased proposal success rates by 19% according to NSF reviews.</w:t>
      </w:r>
    </w:p>
    <w:bookmarkEnd w:id="23"/>
    <w:bookmarkStart w:id="24" w:name="X5f3e6c86b2f5a695cbd00bbd18658989f25e626"/>
    <w:p>
      <w:pPr>
        <w:pStyle w:val="Heading3"/>
      </w:pPr>
      <w:r>
        <w:t xml:space="preserve">IV. Case Study: Breakthrough Partnership with NASA Johnson Space Center</w:t>
      </w:r>
    </w:p>
    <w:p>
      <w:pPr>
        <w:pStyle w:val="FirstParagraph"/>
      </w:pPr>
      <w:r>
        <w:t xml:space="preserve">Our Academic Researcher team executed a strategic sales initiative resulting in the $4.8M "Houston Space Health Consortium" contract with NASA JSC. This landmark agreement emerged from:</w:t>
      </w:r>
    </w:p>
    <w:p>
      <w:pPr>
        <w:numPr>
          <w:ilvl w:val="0"/>
          <w:numId w:val="1002"/>
        </w:numPr>
        <w:pStyle w:val="Compact"/>
      </w:pPr>
      <w:r>
        <w:t xml:space="preserve">Identifying NASA's specific need for microbiome research during extended space missions (validated through Houston-based focus groups)</w:t>
      </w:r>
    </w:p>
    <w:p>
      <w:pPr>
        <w:numPr>
          <w:ilvl w:val="0"/>
          <w:numId w:val="1002"/>
        </w:numPr>
        <w:pStyle w:val="Compact"/>
      </w:pPr>
      <w:r>
        <w:t xml:space="preserve">Developing a customized proposal package highlighting Houston's unique facilities including the Center for Space Medicine</w:t>
      </w:r>
    </w:p>
    <w:p>
      <w:pPr>
        <w:numPr>
          <w:ilvl w:val="0"/>
          <w:numId w:val="1002"/>
        </w:numPr>
        <w:pStyle w:val="Compact"/>
      </w:pPr>
      <w:r>
        <w:t xml:space="preserve">Executing a "sales cycle" with NASA program managers over 18 months, featuring quarterly technical briefings at Johnson Space Center</w:t>
      </w:r>
    </w:p>
    <w:p>
      <w:pPr>
        <w:pStyle w:val="FirstParagraph"/>
      </w:pPr>
      <w:r>
        <w:t xml:space="preserve">This partnership represents the highest-value single award in our institution's history and exemplifies Houston's role as a nexus between academia and national research infrastructure. The deal was secured through relationship-based sales techniques adapted for federal contracting protocols.</w:t>
      </w:r>
    </w:p>
    <w:bookmarkEnd w:id="24"/>
    <w:bookmarkStart w:id="25" w:name="Xb92ce9dcf6d2df461fba4aab0de7456af57a609"/>
    <w:p>
      <w:pPr>
        <w:pStyle w:val="Heading3"/>
      </w:pPr>
      <w:r>
        <w:t xml:space="preserve">V. Challenges &amp; Houston-Specific Market Dynamics</w:t>
      </w:r>
    </w:p>
    <w:p>
      <w:pPr>
        <w:pStyle w:val="FirstParagraph"/>
      </w:pPr>
      <w:r>
        <w:t xml:space="preserve">Operating within United States Houston presents unique challenges requiring specialized sales approaches:</w:t>
      </w:r>
    </w:p>
    <w:p>
      <w:pPr>
        <w:numPr>
          <w:ilvl w:val="0"/>
          <w:numId w:val="1003"/>
        </w:numPr>
        <w:pStyle w:val="Compact"/>
      </w:pPr>
      <w:r>
        <w:rPr>
          <w:bCs/>
          <w:b/>
        </w:rPr>
        <w:t xml:space="preserve">Competition Intensity:</w:t>
      </w:r>
      <w:r>
        <w:t xml:space="preserve"> </w:t>
      </w:r>
      <w:r>
        <w:t xml:space="preserve">Houston's research market features 8 major universities and research centers competing for the same funding sources. Our team overcame this through hyper-localized value propositions (e.g., emphasizing University of Houston's proximity to TMC for health-focused proposals)</w:t>
      </w:r>
    </w:p>
    <w:p>
      <w:pPr>
        <w:numPr>
          <w:ilvl w:val="0"/>
          <w:numId w:val="1003"/>
        </w:numPr>
        <w:pStyle w:val="Compact"/>
      </w:pPr>
      <w:r>
        <w:rPr>
          <w:bCs/>
          <w:b/>
        </w:rPr>
        <w:t xml:space="preserve">Industry Cycles:</w:t>
      </w:r>
      <w:r>
        <w:t xml:space="preserve"> </w:t>
      </w:r>
      <w:r>
        <w:t xml:space="preserve">Energy sector fluctuations directly impact research funding. Our Academic Researcher sales strategy includes quarterly market pulse surveys with Houston Chamber of Commerce to anticipate funding shifts</w:t>
      </w:r>
    </w:p>
    <w:p>
      <w:pPr>
        <w:numPr>
          <w:ilvl w:val="0"/>
          <w:numId w:val="1003"/>
        </w:numPr>
        <w:pStyle w:val="Compact"/>
      </w:pPr>
      <w:r>
        <w:rPr>
          <w:bCs/>
          <w:b/>
        </w:rPr>
        <w:t xml:space="preserve">Cultural Adaptation:</w:t>
      </w:r>
      <w:r>
        <w:t xml:space="preserve"> </w:t>
      </w:r>
      <w:r>
        <w:t xml:space="preserve">Houston's industry culture demands relationship-based selling rather than transactional approaches. Sales training focused on building trust through local networking events (e.g., Energy Capital Partners mixers)</w:t>
      </w:r>
    </w:p>
    <w:bookmarkEnd w:id="25"/>
    <w:bookmarkStart w:id="26" w:name="X1b5914f71a81414813e5eba7d2bacd263d252a1"/>
    <w:p>
      <w:pPr>
        <w:pStyle w:val="Heading3"/>
      </w:pPr>
      <w:r>
        <w:t xml:space="preserve">VI. Future Sales Roadmap for Houston, United States</w:t>
      </w:r>
    </w:p>
    <w:p>
      <w:pPr>
        <w:pStyle w:val="FirstParagraph"/>
      </w:pPr>
      <w:r>
        <w:t xml:space="preserve">Based on Houston's growth trajectory as a global research destination, our Academic Researcher sales strategy will focus on three pillars for FY2024-25:</w:t>
      </w:r>
    </w:p>
    <w:p>
      <w:pPr>
        <w:numPr>
          <w:ilvl w:val="0"/>
          <w:numId w:val="1004"/>
        </w:numPr>
        <w:pStyle w:val="Compact"/>
      </w:pPr>
      <w:r>
        <w:rPr>
          <w:bCs/>
          <w:b/>
        </w:rPr>
        <w:t xml:space="preserve">Energy Transition Focus:</w:t>
      </w:r>
      <w:r>
        <w:t xml:space="preserve"> </w:t>
      </w:r>
      <w:r>
        <w:t xml:space="preserve">Targeting $10M in new awards from Houston's emerging clean energy sector through specialized sales teams for hydrogen, carbon management and grid resilience</w:t>
      </w:r>
    </w:p>
    <w:p>
      <w:pPr>
        <w:numPr>
          <w:ilvl w:val="0"/>
          <w:numId w:val="1004"/>
        </w:numPr>
        <w:pStyle w:val="Compact"/>
      </w:pPr>
      <w:r>
        <w:rPr>
          <w:bCs/>
          <w:b/>
        </w:rPr>
        <w:t xml:space="preserve">TMC Integration Program:</w:t>
      </w:r>
      <w:r>
        <w:t xml:space="preserve"> </w:t>
      </w:r>
      <w:r>
        <w:t xml:space="preserve">Establishing dedicated sales coordinators embedded within Texas Medical Center to convert hospital R&amp;D needs into research contracts</w:t>
      </w:r>
    </w:p>
    <w:p>
      <w:pPr>
        <w:numPr>
          <w:ilvl w:val="0"/>
          <w:numId w:val="1004"/>
        </w:numPr>
        <w:pStyle w:val="Compact"/>
      </w:pPr>
      <w:r>
        <w:rPr>
          <w:bCs/>
          <w:b/>
        </w:rPr>
        <w:t xml:space="preserve">Regional Expansion:</w:t>
      </w:r>
      <w:r>
        <w:t xml:space="preserve"> </w:t>
      </w:r>
      <w:r>
        <w:t xml:space="preserve">Developing Houston-centric sales kits for neighboring cities (Galveston, Sugar Land) to capture the growing 150-mile research corridor funding opportunities</w:t>
      </w:r>
    </w:p>
    <w:bookmarkEnd w:id="26"/>
    <w:bookmarkStart w:id="27" w:name="vii.-conclusion-the-houston-advantage"/>
    <w:p>
      <w:pPr>
        <w:pStyle w:val="Heading3"/>
      </w:pPr>
      <w:r>
        <w:t xml:space="preserve">VII. Conclusion: The Houston Advantage</w:t>
      </w:r>
    </w:p>
    <w:p>
      <w:pPr>
        <w:pStyle w:val="FirstParagraph"/>
      </w:pPr>
      <w:r>
        <w:t xml:space="preserve">This Sales Report confirms that our Academic Researcher team has successfully implemented a market-driven approach to research funding within United States Houston. By treating grant acquisition and industry partnerships as strategic sales functions—rather than academic activities—we've achieved results that position our institution at the forefront of Houston's research economy. The 18% revenue growth directly correlates with targeted Houston-market sales strategies, proving that when Academic Researcher roles embrace professional sales methodologies adapted to local context, they deliver exceptional returns for both the institution and the region.</w:t>
      </w:r>
    </w:p>
    <w:p>
      <w:pPr>
        <w:pStyle w:val="BodyText"/>
      </w:pPr>
      <w:r>
        <w:t xml:space="preserve">As Houston continues its trajectory as America's research capital—projected to grow by 22% in R&amp;D investment through 2030 per U.S. Bureau of Economic Analysis data—the institutionalization of this Sales Report framework will ensure our Academic Researcher team remains the engine driving Houston's research economy forward. We recommend institutionalizing these sales practices across all Houston-based research units to capture the full value of United States' most dynamic academic market.</w:t>
      </w:r>
    </w:p>
    <w:p>
      <w:pPr>
        <w:pStyle w:val="BodyText"/>
      </w:pPr>
      <w:r>
        <w:rPr>
          <w:bCs/>
          <w:b/>
        </w:rPr>
        <w:t xml:space="preserve">Prepared by:</w:t>
      </w:r>
      <w:r>
        <w:t xml:space="preserve"> </w:t>
      </w:r>
      <w:r>
        <w:t xml:space="preserve">Research Commercialization Office, University of Houston</w:t>
      </w:r>
    </w:p>
    <w:p>
      <w:pPr>
        <w:pStyle w:val="BodyText"/>
      </w:pPr>
      <w:r>
        <w:rPr>
          <w:bCs/>
          <w:b/>
        </w:rPr>
        <w:t xml:space="preserve">Date:</w:t>
      </w:r>
      <w:r>
        <w:t xml:space="preserve"> </w:t>
      </w:r>
      <w:r>
        <w:t xml:space="preserve">August 27, 2024</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Report: Houston, United States</dc:title>
  <dc:creator/>
  <dc:language>en</dc:language>
  <cp:keywords/>
  <dcterms:created xsi:type="dcterms:W3CDTF">2025-12-11T18:26:43Z</dcterms:created>
  <dcterms:modified xsi:type="dcterms:W3CDTF">2025-12-11T18:26:43Z</dcterms:modified>
</cp:coreProperties>
</file>

<file path=docProps/custom.xml><?xml version="1.0" encoding="utf-8"?>
<Properties xmlns="http://schemas.openxmlformats.org/officeDocument/2006/custom-properties" xmlns:vt="http://schemas.openxmlformats.org/officeDocument/2006/docPropsVTypes"/>
</file>