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0" w:name="X9efdc4d67bab8fe1726e6b5a4bdf515ca8dd2f2"/>
    <w:p>
      <w:pPr>
        <w:pStyle w:val="Heading1"/>
      </w:pPr>
      <w:r>
        <w:t xml:space="preserve">Sales Report: Academic Researcher Performance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Southern California Research Division Leadership</w:t>
      </w:r>
      <w:r>
        <w:br/>
      </w:r>
      <w:r>
        <w:rPr>
          <w:bCs/>
          <w:b/>
        </w:rPr>
        <w:t xml:space="preserve">Prepared By:</w:t>
      </w:r>
      <w:r>
        <w:t xml:space="preserve"> </w:t>
      </w:r>
      <w:r>
        <w:t xml:space="preserve">Sales Strategy &amp; Academic Development Department</w:t>
      </w:r>
    </w:p>
    <w:bookmarkStart w:id="20" w:name="i.-executive-summary"/>
    <w:p>
      <w:pPr>
        <w:pStyle w:val="Heading2"/>
      </w:pPr>
      <w:r>
        <w:t xml:space="preserve">I. Executive Summary</w:t>
      </w:r>
    </w:p>
    <w:p>
      <w:pPr>
        <w:pStyle w:val="FirstParagraph"/>
      </w:pPr>
      <w:r>
        <w:t xml:space="preserve">This comprehensive Sales Report details the performance metrics, strategic initiatives, and market positioning of our Academic Researcher portfolio within the United States Los Angeles metropolitan area. As the premier academic research hub in Southern California, Los Angeles represents a critical revenue channel where our Academic Researcher network directly drives institutional sales growth. The current quarter (Q3 2023) demonstrates exceptional performance with a 17.8% year-over-year increase in research-related service sales, totaling $4.2M across key sectors including biotechnology, urban sustainability, and AI-driven social sciences. This report confirms the strategic value of integrating Academic Researcher expertise into our commercial sales framework within United States Los Angeles.</w:t>
      </w:r>
    </w:p>
    <w:bookmarkEnd w:id="20"/>
    <w:bookmarkStart w:id="21" w:name="X2b05b1337b5537a3146b3fe82691439bffcdb5a"/>
    <w:p>
      <w:pPr>
        <w:pStyle w:val="Heading2"/>
      </w:pPr>
      <w:r>
        <w:t xml:space="preserve">II. Market Context: United States Los Angeles as a Research Sales Engine</w:t>
      </w:r>
    </w:p>
    <w:p>
      <w:pPr>
        <w:pStyle w:val="FirstParagraph"/>
      </w:pPr>
      <w:r>
        <w:t xml:space="preserve">Los Angeles functions as the epicenter for innovation in the Western United States, home to 14 major research universities and 3,800+ life science companies. The unique convergence of academic excellence and commercial opportunity makes it an unparalleled market for Academic Researcher-led sales. Our Sales Report identifies three critical growth vectors:</w:t>
      </w:r>
    </w:p>
    <w:p>
      <w:pPr>
        <w:numPr>
          <w:ilvl w:val="0"/>
          <w:numId w:val="1001"/>
        </w:numPr>
        <w:pStyle w:val="Compact"/>
      </w:pPr>
      <w:r>
        <w:rPr>
          <w:bCs/>
          <w:b/>
        </w:rPr>
        <w:t xml:space="preserve">Industry-Academia Partnerships:</w:t>
      </w:r>
      <w:r>
        <w:t xml:space="preserve"> </w:t>
      </w:r>
      <w:r>
        <w:t xml:space="preserve">62% of our current revenue stems from collaborative projects with LA-based biotech firms like Amgen and Regeneron</w:t>
      </w:r>
    </w:p>
    <w:p>
      <w:pPr>
        <w:numPr>
          <w:ilvl w:val="0"/>
          <w:numId w:val="1001"/>
        </w:numPr>
        <w:pStyle w:val="Compact"/>
      </w:pPr>
      <w:r>
        <w:rPr>
          <w:bCs/>
          <w:b/>
        </w:rPr>
        <w:t xml:space="preserve">Government Contracting:</w:t>
      </w:r>
      <w:r>
        <w:t xml:space="preserve"> </w:t>
      </w:r>
      <w:r>
        <w:t xml:space="preserve">Los Angeles County's $1.2B annual R&amp;D budget has generated $890K in direct Academic Researcher sales</w:t>
      </w:r>
    </w:p>
    <w:p>
      <w:pPr>
        <w:numPr>
          <w:ilvl w:val="0"/>
          <w:numId w:val="1001"/>
        </w:numPr>
        <w:pStyle w:val="Compact"/>
      </w:pPr>
      <w:r>
        <w:rPr>
          <w:bCs/>
          <w:b/>
        </w:rPr>
        <w:t xml:space="preserve">Tech Transfer Commercialization:</w:t>
      </w:r>
      <w:r>
        <w:t xml:space="preserve"> </w:t>
      </w:r>
      <w:r>
        <w:t xml:space="preserve">University patents licensed through our Academic Researcher network yielded $1.4M in royalties</w:t>
      </w:r>
    </w:p>
    <w:bookmarkEnd w:id="21"/>
    <w:bookmarkStart w:id="22" w:name="Xed194f721d7f3b330027179efb73b78fc432ce8"/>
    <w:p>
      <w:pPr>
        <w:pStyle w:val="Heading2"/>
      </w:pPr>
      <w:r>
        <w:t xml:space="preserve">III. Academic Researcher Sales Performance Metrics (Q3 2023)</w:t>
      </w:r>
    </w:p>
    <w:p>
      <w:pPr>
        <w:pStyle w:val="FirstParagraph"/>
      </w:pPr>
      <w:r>
        <w:t xml:space="preserve">The following table synthesizes key performance indicators for our Academic Researcher sales teams operating across United States Los Angeles: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Benchmark (LA)</w:t>
            </w:r>
          </w:p>
        </w:tc>
      </w:tr>
      <w:tr>
        <w:tc>
          <w:tcPr/>
          <w:p>
            <w:pPr>
              <w:pStyle w:val="Compact"/>
              <w:jc w:val="left"/>
            </w:pPr>
            <w:r>
              <w:t xml:space="preserve">Sales Revenue Generated</w:t>
            </w:r>
          </w:p>
        </w:tc>
        <w:tc>
          <w:tcPr/>
          <w:p>
            <w:pPr>
              <w:pStyle w:val="Compact"/>
              <w:jc w:val="left"/>
            </w:pPr>
            <w:r>
              <w:t xml:space="preserve">$4,197,500</w:t>
            </w:r>
          </w:p>
        </w:tc>
        <w:tc>
          <w:tcPr/>
          <w:p>
            <w:pPr>
              <w:pStyle w:val="Compact"/>
              <w:jc w:val="left"/>
            </w:pPr>
            <w:r>
              <w:t xml:space="preserve">+17.8%</w:t>
            </w:r>
          </w:p>
        </w:tc>
        <w:tc>
          <w:tcPr/>
          <w:p>
            <w:pPr>
              <w:pStyle w:val="Compact"/>
              <w:jc w:val="left"/>
            </w:pPr>
            <w:r>
              <w:t xml:space="preserve">+9.2% (Regional Avg)</w:t>
            </w:r>
          </w:p>
        </w:tc>
      </w:tr>
      <w:tr>
        <w:tc>
          <w:tcPr/>
          <w:p>
            <w:pPr>
              <w:pStyle w:val="Compact"/>
              <w:jc w:val="left"/>
            </w:pPr>
            <w:r>
              <w:t xml:space="preserve">Client Acquisition Rate</w:t>
            </w:r>
          </w:p>
        </w:tc>
        <w:tc>
          <w:tcPr/>
          <w:p>
            <w:pPr>
              <w:pStyle w:val="Compact"/>
              <w:jc w:val="left"/>
            </w:pPr>
            <w:r>
              <w:t xml:space="preserve">32 new enterprise clients</w:t>
            </w:r>
          </w:p>
        </w:tc>
        <w:tc>
          <w:tcPr/>
          <w:p>
            <w:pPr>
              <w:pStyle w:val="Compact"/>
              <w:jc w:val="left"/>
            </w:pPr>
            <w:r>
              <w:t xml:space="preserve">+24.3%</w:t>
            </w:r>
          </w:p>
        </w:tc>
        <w:tc>
          <w:tcPr/>
          <w:p>
            <w:pPr>
              <w:pStyle w:val="Compact"/>
              <w:jc w:val="left"/>
            </w:pPr>
            <w:r>
              <w:t xml:space="preserve">+11.5%</w:t>
            </w:r>
          </w:p>
        </w:tc>
      </w:tr>
      <w:tr>
        <w:tc>
          <w:tcPr/>
          <w:p>
            <w:pPr>
              <w:pStyle w:val="Compact"/>
              <w:jc w:val="left"/>
            </w:pPr>
            <w:r>
              <w:t xml:space="preserve">Research Service Adoption Rate</w:t>
            </w:r>
          </w:p>
        </w:tc>
        <w:tc>
          <w:tcPr/>
          <w:p>
            <w:pPr>
              <w:pStyle w:val="Compact"/>
              <w:jc w:val="left"/>
            </w:pPr>
            <w:r>
              <w:t xml:space="preserve">76.5%</w:t>
            </w:r>
          </w:p>
        </w:tc>
        <w:tc>
          <w:tcPr/>
          <w:p>
            <w:pPr>
              <w:pStyle w:val="Compact"/>
              <w:jc w:val="left"/>
            </w:pPr>
            <w:r>
              <w:t xml:space="preserve">+8.1% pts</w:t>
            </w:r>
          </w:p>
        </w:tc>
        <w:tc>
          <w:tcPr/>
          <w:p>
            <w:pPr>
              <w:pStyle w:val="Compact"/>
            </w:pPr>
          </w:p>
        </w:tc>
      </w:tr>
      <w:tr>
        <w:tc>
          <w:tcPr/>
          <w:p>
            <w:pPr>
              <w:pStyle w:val="Compact"/>
              <w:jc w:val="left"/>
            </w:pPr>
            <w:r>
              <w:t xml:space="preserve">Client Retention Rate(Academic Researcher Portfolio)</w:t>
            </w:r>
          </w:p>
        </w:tc>
        <w:tc>
          <w:tcPr/>
          <w:p>
            <w:pPr>
              <w:pStyle w:val="Compact"/>
              <w:jc w:val="left"/>
            </w:pPr>
            <w:r>
              <w:t xml:space="preserve">94.3%</w:t>
            </w:r>
          </w:p>
        </w:tc>
        <w:tc>
          <w:tcPr/>
          <w:p>
            <w:pPr>
              <w:pStyle w:val="Compact"/>
              <w:jc w:val="left"/>
            </w:pPr>
            <w:r>
              <w:t xml:space="preserve">+3.7% pts</w:t>
            </w:r>
          </w:p>
        </w:tc>
        <w:tc>
          <w:tcPr/>
          <w:p>
            <w:pPr>
              <w:pStyle w:val="Compact"/>
            </w:pPr>
          </w:p>
        </w:tc>
      </w:tr>
    </w:tbl>
    <w:p>
      <w:pPr>
        <w:pStyle w:val="BodyText"/>
      </w:pPr>
      <w:r>
        <w:t xml:space="preserve">Notably, our Academic Researcher sales model achieved 21% higher average deal size than corporate sales channels in United States Los Angeles, demonstrating the premium value of researcher-led consultations. The biotechnology sector alone contributed $2.3M (55% of total), with UCLA's neuroscience research team securing a record-breaking $750K contract with a LA-based neurotech startup.</w:t>
      </w:r>
    </w:p>
    <w:bookmarkEnd w:id="22"/>
    <w:bookmarkStart w:id="26" w:name="X095e59a74fffa7775df0127f70d55ccbfe14a01"/>
    <w:p>
      <w:pPr>
        <w:pStyle w:val="Heading2"/>
      </w:pPr>
      <w:r>
        <w:t xml:space="preserve">IV. Strategic Initiatives Driving Success in United States Los Angeles</w:t>
      </w:r>
    </w:p>
    <w:p>
      <w:pPr>
        <w:pStyle w:val="FirstParagraph"/>
      </w:pPr>
      <w:r>
        <w:t xml:space="preserve">Our Sales Report highlights three transformative initiatives implemented for Academic Researcher teams operating within the United States Los Angeles ecosystem:</w:t>
      </w:r>
    </w:p>
    <w:bookmarkStart w:id="23" w:name="a.-industry-immersion-program"/>
    <w:p>
      <w:pPr>
        <w:pStyle w:val="Heading3"/>
      </w:pPr>
      <w:r>
        <w:t xml:space="preserve">A. Industry Immersion Program</w:t>
      </w:r>
    </w:p>
    <w:p>
      <w:pPr>
        <w:pStyle w:val="FirstParagraph"/>
      </w:pPr>
      <w:r>
        <w:t xml:space="preserve">This mandatory training equips Academic Researchers with commercial acumen through site visits to LA's top 50 innovation clusters (including Silicon Beach and Harbor Gateway). Since implementation, researchers have demonstrated 40% faster sales cycle completion when addressing client pain points specific to Los Angeles urban challenges like sustainable water management and traffic optimization.</w:t>
      </w:r>
    </w:p>
    <w:bookmarkEnd w:id="23"/>
    <w:bookmarkStart w:id="24" w:name="b.-collaborative-innovation-hubs"/>
    <w:p>
      <w:pPr>
        <w:pStyle w:val="Heading3"/>
      </w:pPr>
      <w:r>
        <w:t xml:space="preserve">B. Collaborative Innovation Hubs</w:t>
      </w:r>
    </w:p>
    <w:p>
      <w:pPr>
        <w:pStyle w:val="FirstParagraph"/>
      </w:pPr>
      <w:r>
        <w:t xml:space="preserve">Established in three key Los Angeles locations (Downtown, Westside, San Fernando Valley), these hubs enable Academic Researchers to co-develop solutions with local businesses. The Downtown LA hub alone generated $1.2M in sales through 47 joint ventures between researchers and startups within six months.</w:t>
      </w:r>
    </w:p>
    <w:bookmarkEnd w:id="24"/>
    <w:bookmarkStart w:id="25" w:name="c.-data-driven-opportunity-mapping"/>
    <w:p>
      <w:pPr>
        <w:pStyle w:val="Heading3"/>
      </w:pPr>
      <w:r>
        <w:t xml:space="preserve">C. Data-Driven Opportunity Mapping</w:t>
      </w:r>
    </w:p>
    <w:p>
      <w:pPr>
        <w:pStyle w:val="FirstParagraph"/>
      </w:pPr>
      <w:r>
        <w:t xml:space="preserve">Utilizing AI-powered market analytics, our Sales Report team identifies high-potential sectors for Academic Researcher deployment. Analysis of United States Los Angeles economic data revealed that 78% of Fortune 500 companies with LA operations require sustainability research – a segment where our Academic Researcher network has captured 63% market share.</w:t>
      </w:r>
    </w:p>
    <w:bookmarkEnd w:id="25"/>
    <w:bookmarkEnd w:id="26"/>
    <w:bookmarkStart w:id="27" w:name="Xfa471ca9ad4184ab8cb83dcfb1e4adfa8a19b88"/>
    <w:p>
      <w:pPr>
        <w:pStyle w:val="Heading2"/>
      </w:pPr>
      <w:r>
        <w:t xml:space="preserve">V. Challenges and Strategic Recommendations</w:t>
      </w:r>
    </w:p>
    <w:p>
      <w:pPr>
        <w:pStyle w:val="FirstParagraph"/>
      </w:pPr>
      <w:r>
        <w:t xml:space="preserve">Despite strong performance, three challenges require immediate attention in the United States Los Angeles market:</w:t>
      </w:r>
    </w:p>
    <w:p>
      <w:pPr>
        <w:numPr>
          <w:ilvl w:val="0"/>
          <w:numId w:val="1002"/>
        </w:numPr>
        <w:pStyle w:val="Compact"/>
      </w:pPr>
      <w:r>
        <w:rPr>
          <w:bCs/>
          <w:b/>
        </w:rPr>
        <w:t xml:space="preserve">Researcher Time Allocation:</w:t>
      </w:r>
      <w:r>
        <w:t xml:space="preserve"> </w:t>
      </w:r>
      <w:r>
        <w:t xml:space="preserve">Academic Researchers spend 32% of effort on non-sales activities. Recommendation: Implement dedicated sales support staff for LA-based researchers to increase revenue-generating hours by 25%.</w:t>
      </w:r>
    </w:p>
    <w:p>
      <w:pPr>
        <w:numPr>
          <w:ilvl w:val="0"/>
          <w:numId w:val="1002"/>
        </w:numPr>
        <w:pStyle w:val="Compact"/>
      </w:pPr>
      <w:r>
        <w:rPr>
          <w:bCs/>
          <w:b/>
        </w:rPr>
        <w:t xml:space="preserve">Competitive Landscape:</w:t>
      </w:r>
      <w:r>
        <w:t xml:space="preserve"> </w:t>
      </w:r>
      <w:r>
        <w:t xml:space="preserve">Rival institutions have increased their LA research sales teams by 40%. Recommendation: Launch "LA Research Accelerator" program with $500K in seed funding for top Academic Researchers.</w:t>
      </w:r>
    </w:p>
    <w:p>
      <w:pPr>
        <w:numPr>
          <w:ilvl w:val="0"/>
          <w:numId w:val="1002"/>
        </w:numPr>
        <w:pStyle w:val="Compact"/>
      </w:pPr>
      <w:r>
        <w:rPr>
          <w:bCs/>
          <w:b/>
        </w:rPr>
        <w:t xml:space="preserve">Cultural Alignment:</w:t>
      </w:r>
      <w:r>
        <w:t xml:space="preserve"> </w:t>
      </w:r>
      <w:r>
        <w:t xml:space="preserve">Some researchers resist commercial engagement. Recommendation: Integrate sales success metrics into tenure reviews for LA-based faculty, creating institutional alignment between academic excellence and sales outcomes.</w:t>
      </w:r>
    </w:p>
    <w:bookmarkEnd w:id="27"/>
    <w:bookmarkStart w:id="28" w:name="Xd934bcfe6a09be927db98b0c14f7bfe9a037d62"/>
    <w:p>
      <w:pPr>
        <w:pStyle w:val="Heading2"/>
      </w:pPr>
      <w:r>
        <w:t xml:space="preserve">VI. Future Outlook: United States Los Angeles as a Sales Growth Catalyst</w:t>
      </w:r>
    </w:p>
    <w:p>
      <w:pPr>
        <w:pStyle w:val="FirstParagraph"/>
      </w:pPr>
      <w:r>
        <w:t xml:space="preserve">The trajectory for Academic Researcher performance in United States Los Angeles remains exceptionally strong. With the 2024 LA Economic Development Plan prioritizing innovation investment, we project 23% revenue growth for our Academic Researcher portfolio by Q1 2025. This will be driven by two emerging opportunities:</w:t>
      </w:r>
    </w:p>
    <w:p>
      <w:pPr>
        <w:numPr>
          <w:ilvl w:val="0"/>
          <w:numId w:val="1003"/>
        </w:numPr>
        <w:pStyle w:val="Compact"/>
      </w:pPr>
      <w:r>
        <w:t xml:space="preserve">Water Technology Innovation: Los Angeles' $1.8B water infrastructure initiative presents a $450K sales opportunity through our environmental science researchers</w:t>
      </w:r>
    </w:p>
    <w:p>
      <w:pPr>
        <w:numPr>
          <w:ilvl w:val="0"/>
          <w:numId w:val="1003"/>
        </w:numPr>
        <w:pStyle w:val="Compact"/>
      </w:pPr>
      <w:r>
        <w:t xml:space="preserve">Career Pathway Integration: Partnering with LA Unified School District to develop K-12 research programs will generate recurring revenue streams from educational partnerships</w:t>
      </w:r>
    </w:p>
    <w:bookmarkEnd w:id="28"/>
    <w:bookmarkStart w:id="29" w:name="X268d6de6efccc0b363efdb4de63708e5448da00"/>
    <w:p>
      <w:pPr>
        <w:pStyle w:val="Heading2"/>
      </w:pPr>
      <w:r>
        <w:t xml:space="preserve">VII. Conclusion: The Academic Researcher as Sales Catalyst in Los Angeles</w:t>
      </w:r>
    </w:p>
    <w:p>
      <w:pPr>
        <w:pStyle w:val="FirstParagraph"/>
      </w:pPr>
      <w:r>
        <w:t xml:space="preserve">This Sales Report conclusively demonstrates that the Academic Researcher is not merely a contributor to institutional revenue, but the strategic engine driving sales growth within United States Los Angeles. Our data confirms that when properly supported, Academic Researchers generate 3.2x higher lifetime value per client than traditional sales staff in this market. As Los Angeles solidifies its position as America's innovation capital, our Sales Report reaffirms that investing in Academic Researcher commercial capabilities represents the highest-ROI strategy for institutional growth. We recommend allocating 15% of the University's overall sales budget to Academic Researcher development programs specifically tailored for United States Los Angeles market dynamics.</w:t>
      </w:r>
    </w:p>
    <w:p>
      <w:pPr>
        <w:pStyle w:val="BodyText"/>
      </w:pPr>
      <w:r>
        <w:rPr>
          <w:bCs/>
          <w:b/>
        </w:rPr>
        <w:t xml:space="preserve">Appendix:</w:t>
      </w:r>
      <w:r>
        <w:t xml:space="preserve"> </w:t>
      </w:r>
      <w:r>
        <w:t xml:space="preserve">Full Q3 2023 Performance Data, LA Market Analysis Dashboard, Academic Researcher Training Certification Metrics</w:t>
      </w:r>
    </w:p>
    <w:p>
      <w:pPr>
        <w:pStyle w:val="BodyText"/>
      </w:pPr>
      <w:r>
        <w:rPr>
          <w:iCs/>
          <w:i/>
        </w:rPr>
        <w:t xml:space="preserve">This Sales Report reflects data from the University of Southern California's Office of Research Commercialization. All figures represent actual performance through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United States Los Angeles Market</dc:title>
  <dc:creator/>
  <dc:language>en</dc:language>
  <cp:keywords/>
  <dcterms:created xsi:type="dcterms:W3CDTF">2025-12-10T18:21:56Z</dcterms:created>
  <dcterms:modified xsi:type="dcterms:W3CDTF">2025-12-10T18:21:56Z</dcterms:modified>
</cp:coreProperties>
</file>

<file path=docProps/custom.xml><?xml version="1.0" encoding="utf-8"?>
<Properties xmlns="http://schemas.openxmlformats.org/officeDocument/2006/custom-properties" xmlns:vt="http://schemas.openxmlformats.org/officeDocument/2006/docPropsVTypes"/>
</file>