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31" w:name="X61c8dbd65805832c75ed1ca5c52f2cc667b5ce3"/>
    <w:p>
      <w:pPr>
        <w:pStyle w:val="Heading1"/>
      </w:pPr>
      <w:r>
        <w:t xml:space="preserve">SALES REPORT FOR ACADEMIC RESEARCHER ROLE</w:t>
      </w:r>
      <w:r>
        <w:br/>
      </w:r>
      <w:r>
        <w:t xml:space="preserve">UNITED STATES MIAMI MARKET ANALYSIS</w:t>
      </w:r>
    </w:p>
    <w:p>
      <w:pPr>
        <w:pStyle w:val="FirstParagraph"/>
      </w:pPr>
      <w:r>
        <w:t xml:space="preserve">Report Date: October 26, 2023 | Prepared For: Miami Research Innovation Group</w:t>
      </w:r>
    </w:p>
    <w:bookmarkStart w:id="20" w:name="executive-summary"/>
    <w:p>
      <w:pPr>
        <w:pStyle w:val="Heading2"/>
      </w:pPr>
      <w:r>
        <w:t xml:space="preserve">Executive Summary</w:t>
      </w:r>
    </w:p>
    <w:p>
      <w:pPr>
        <w:pStyle w:val="FirstParagraph"/>
      </w:pPr>
      <w:r>
        <w:t xml:space="preserve">This comprehensive Sales Report details the strategic impact of Academic Researcher initiatives within the United States Miami ecosystem. As Miami emerges as a critical hub for innovation in biotechnology, sustainable tourism, and international business development, our Academic Researcher team has directly contributed to a 37% year-over-year increase in research-driven revenue streams. This report confirms that targeted academic research is not merely an operational cost but a high-impact sales engine for Miami-based institutions seeking to monetize knowledge capital.</w:t>
      </w:r>
    </w:p>
    <w:bookmarkEnd w:id="20"/>
    <w:bookmarkStart w:id="21" w:name="X2f3c7a816fbedd3289ac918cfb10301ddce14b3"/>
    <w:p>
      <w:pPr>
        <w:pStyle w:val="Heading2"/>
      </w:pPr>
      <w:r>
        <w:t xml:space="preserve">Market Context: Miami as the Innovation Nexus</w:t>
      </w:r>
    </w:p>
    <w:p>
      <w:pPr>
        <w:pStyle w:val="FirstParagraph"/>
      </w:pPr>
      <w:r>
        <w:t xml:space="preserve">United States Miami's unique position at the intersection of Latin American markets, global tourism, and climate resilience research creates unparalleled opportunities for Academic Researcher-driven sales. The city's $38.7 billion knowledge economy (per 2023 Greater Miami Chamber data) is fueled by institutions like University of Miami, Florida International University (FIU), and the Rosenstiel School of Marine Science. Our Academic Researchers have positioned themselves at the forefront of this ecosystem, translating scholarly work into marketable solutions that directly boost institutional revenue.</w:t>
      </w:r>
    </w:p>
    <w:bookmarkEnd w:id="21"/>
    <w:bookmarkStart w:id="22" w:name="Xe64310f8ae70037a531acd0e6bffe7b72529cf3"/>
    <w:p>
      <w:pPr>
        <w:pStyle w:val="Heading2"/>
      </w:pPr>
      <w:r>
        <w:t xml:space="preserve">Key Sales Metrics Driven by Academic Research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Current FY (YoY)</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Research Licensing Revenue (Miami-based IP)</w:t>
            </w:r>
          </w:p>
        </w:tc>
        <w:tc>
          <w:tcPr/>
          <w:p>
            <w:pPr>
              <w:pStyle w:val="Compact"/>
              <w:jc w:val="left"/>
            </w:pPr>
            <w:r>
              <w:t xml:space="preserve">$8.2M</w:t>
            </w:r>
          </w:p>
        </w:tc>
        <w:tc>
          <w:tcPr/>
          <w:p>
            <w:pPr>
              <w:pStyle w:val="Compact"/>
              <w:jc w:val="left"/>
            </w:pPr>
            <w:r>
              <w:t xml:space="preserve">$5.6M</w:t>
            </w:r>
          </w:p>
        </w:tc>
        <w:tc>
          <w:tcPr/>
          <w:p>
            <w:pPr>
              <w:pStyle w:val="Compact"/>
              <w:jc w:val="left"/>
            </w:pPr>
            <w:r>
              <w:rPr>
                <w:bCs/>
                <w:b/>
              </w:rPr>
              <w:t xml:space="preserve">+46%</w:t>
            </w:r>
          </w:p>
        </w:tc>
      </w:tr>
      <w:tr>
        <w:tc>
          <w:tcPr/>
          <w:p>
            <w:pPr>
              <w:pStyle w:val="Compact"/>
              <w:jc w:val="left"/>
            </w:pPr>
            <w:r>
              <w:t xml:space="preserve">Industry Partnership Contracts (Miami-based)</w:t>
            </w:r>
          </w:p>
        </w:tc>
        <w:tc>
          <w:tcPr/>
          <w:p>
            <w:pPr>
              <w:pStyle w:val="Compact"/>
              <w:jc w:val="left"/>
            </w:pPr>
            <w:r>
              <w:t xml:space="preserve">47</w:t>
            </w:r>
          </w:p>
        </w:tc>
        <w:tc>
          <w:tcPr/>
          <w:p>
            <w:pPr>
              <w:pStyle w:val="Compact"/>
              <w:jc w:val="left"/>
            </w:pPr>
            <w:r>
              <w:t xml:space="preserve">32</w:t>
            </w:r>
          </w:p>
        </w:tc>
        <w:tc>
          <w:tcPr/>
          <w:p>
            <w:pPr>
              <w:pStyle w:val="Compact"/>
              <w:jc w:val="left"/>
            </w:pPr>
            <w:r>
              <w:rPr>
                <w:bCs/>
                <w:b/>
              </w:rPr>
              <w:t xml:space="preserve">+47%</w:t>
            </w:r>
          </w:p>
        </w:tc>
      </w:tr>
      <w:tr>
        <w:tc>
          <w:tcPr/>
          <w:p>
            <w:pPr>
              <w:pStyle w:val="Compact"/>
              <w:jc w:val="left"/>
            </w:pPr>
            <w:r>
              <w:t xml:space="preserve">Grant Funding for Commercial Research</w:t>
            </w:r>
          </w:p>
        </w:tc>
        <w:tc>
          <w:tcPr/>
          <w:p>
            <w:pPr>
              <w:pStyle w:val="Compact"/>
              <w:jc w:val="left"/>
            </w:pPr>
            <w:r>
              <w:t xml:space="preserve">$22.5M</w:t>
            </w:r>
          </w:p>
        </w:tc>
        <w:tc>
          <w:tcPr/>
          <w:p>
            <w:pPr>
              <w:pStyle w:val="Compact"/>
              <w:jc w:val="left"/>
            </w:pPr>
            <w:r>
              <w:t xml:space="preserve">$18.3M</w:t>
            </w:r>
          </w:p>
        </w:tc>
        <w:tc>
          <w:tcPr/>
          <w:p>
            <w:pPr>
              <w:pStyle w:val="Compact"/>
              <w:jc w:val="left"/>
            </w:pPr>
            <w:r>
              <w:rPr>
                <w:bCs/>
                <w:b/>
              </w:rPr>
              <w:t xml:space="preserve">+23%</w:t>
            </w:r>
          </w:p>
        </w:tc>
      </w:tr>
      <w:tr>
        <w:tc>
          <w:tcPr/>
          <w:p>
            <w:pPr>
              <w:pStyle w:val="Compact"/>
              <w:jc w:val="left"/>
            </w:pPr>
            <w:r>
              <w:t xml:space="preserve">Patent Applications Filed (Researcher-led)</w:t>
            </w:r>
          </w:p>
        </w:tc>
        <w:tc>
          <w:tcPr/>
          <w:p>
            <w:pPr>
              <w:pStyle w:val="Compact"/>
              <w:jc w:val="left"/>
            </w:pPr>
            <w:r>
              <w:t xml:space="preserve">34</w:t>
            </w:r>
          </w:p>
        </w:tc>
        <w:tc>
          <w:tcPr/>
          <w:p>
            <w:pPr>
              <w:pStyle w:val="Compact"/>
              <w:jc w:val="left"/>
            </w:pPr>
            <w:r>
              <w:t xml:space="preserve">28</w:t>
            </w:r>
          </w:p>
        </w:tc>
        <w:tc>
          <w:tcPr/>
          <w:p>
            <w:pPr>
              <w:pStyle w:val="Compact"/>
              <w:jc w:val="left"/>
            </w:pPr>
            <w:r>
              <w:rPr>
                <w:bCs/>
                <w:b/>
              </w:rPr>
              <w:t xml:space="preserve">+21%</w:t>
            </w:r>
          </w:p>
        </w:tc>
      </w:tr>
    </w:tbl>
    <w:bookmarkEnd w:id="22"/>
    <w:bookmarkStart w:id="26" w:name="X42da90a87b02a040edfdd383f2f78fe0db9a644"/>
    <w:p>
      <w:pPr>
        <w:pStyle w:val="Heading2"/>
      </w:pPr>
      <w:r>
        <w:t xml:space="preserve">Strategic Initiatives Driving Sales in Miami</w:t>
      </w:r>
    </w:p>
    <w:bookmarkStart w:id="23" w:name="X6c699645ff8368ddea969e18c38a7adb9fa520d"/>
    <w:p>
      <w:pPr>
        <w:pStyle w:val="Heading3"/>
      </w:pPr>
      <w:r>
        <w:t xml:space="preserve">1. Climate Resilience Research Commercialization</w:t>
      </w:r>
    </w:p>
    <w:p>
      <w:pPr>
        <w:pStyle w:val="FirstParagraph"/>
      </w:pPr>
      <w:r>
        <w:t xml:space="preserve">Our Academic Researchers at the Rosenstiel School have developed proprietary coastal erosion modeling technology, directly licensed to Miami-Dade County and private developers. This $2.8M licensing deal (representing 18% of total research revenue) positions Miami as a leader in climate-adaptive infrastructure sales. The project generated immediate municipal contracts while creating a scalable product for global markets.</w:t>
      </w:r>
    </w:p>
    <w:bookmarkEnd w:id="23"/>
    <w:bookmarkStart w:id="24" w:name="biotech-healthcare-innovation-pipeline"/>
    <w:p>
      <w:pPr>
        <w:pStyle w:val="Heading3"/>
      </w:pPr>
      <w:r>
        <w:t xml:space="preserve">2. Biotech-Healthcare Innovation Pipeline</w:t>
      </w:r>
    </w:p>
    <w:p>
      <w:pPr>
        <w:pStyle w:val="FirstParagraph"/>
      </w:pPr>
      <w:r>
        <w:t xml:space="preserve">Collaborating with Jackson Memorial Hospital and Miami Biotech Park, Academic Researchers secured a $4.1M NIH grant to develop AI-driven diagnostics. The resulting partnership with a Fortune 500 medical device company (finalized Q3 2023) represents $17M in projected revenue over three years – the largest single research-to-sales conversion in Miami's history.</w:t>
      </w:r>
    </w:p>
    <w:bookmarkEnd w:id="24"/>
    <w:bookmarkStart w:id="25" w:name="Xad0d5633621358b0149389d9d898e20c1ad2cd3"/>
    <w:p>
      <w:pPr>
        <w:pStyle w:val="Heading3"/>
      </w:pPr>
      <w:r>
        <w:t xml:space="preserve">3. Latin American Market Expansion Framework</w:t>
      </w:r>
    </w:p>
    <w:p>
      <w:pPr>
        <w:pStyle w:val="FirstParagraph"/>
      </w:pPr>
      <w:r>
        <w:t xml:space="preserve">By leveraging Miami's unique position as America's gateway to Latin America, Academic Researchers created the "LatAm Innovation Accelerator" program. This research initiative directly facilitated 12 commercial partnerships with Brazilian and Mexican firms, generating $1.9M in consulting revenue and creating a sustainable sales pipeline for Miami-based institutions.</w:t>
      </w:r>
    </w:p>
    <w:bookmarkEnd w:id="25"/>
    <w:bookmarkEnd w:id="26"/>
    <w:bookmarkStart w:id="27" w:name="miami-specific-market-analysis"/>
    <w:p>
      <w:pPr>
        <w:pStyle w:val="Heading2"/>
      </w:pPr>
      <w:r>
        <w:t xml:space="preserve">Miami-Specific Market Analysis</w:t>
      </w:r>
    </w:p>
    <w:p>
      <w:pPr>
        <w:pStyle w:val="FirstParagraph"/>
      </w:pPr>
      <w:r>
        <w:t xml:space="preserve">Our sales data reveals three critical insights about the United States Miami market:</w:t>
      </w:r>
    </w:p>
    <w:p>
      <w:pPr>
        <w:numPr>
          <w:ilvl w:val="0"/>
          <w:numId w:val="1001"/>
        </w:numPr>
        <w:pStyle w:val="Compact"/>
      </w:pPr>
      <w:r>
        <w:rPr>
          <w:bCs/>
          <w:b/>
        </w:rPr>
        <w:t xml:space="preserve">Geographic Advantage:</w:t>
      </w:r>
      <w:r>
        <w:t xml:space="preserve"> </w:t>
      </w:r>
      <w:r>
        <w:t xml:space="preserve">Miami's proximity to emerging markets drives demand for research tailored to Caribbean and Latin American contexts, with 68% of new partnerships originating from this regional focus.</w:t>
      </w:r>
    </w:p>
    <w:p>
      <w:pPr>
        <w:numPr>
          <w:ilvl w:val="0"/>
          <w:numId w:val="1001"/>
        </w:numPr>
        <w:pStyle w:val="Compact"/>
      </w:pPr>
      <w:r>
        <w:rPr>
          <w:bCs/>
          <w:b/>
        </w:rPr>
        <w:t xml:space="preserve">Tourism-Research Synergy:</w:t>
      </w:r>
      <w:r>
        <w:t xml:space="preserve"> </w:t>
      </w:r>
      <w:r>
        <w:t xml:space="preserve">The $3.2B annual tourism revenue creates unique opportunities for academic researchers – e.g., our sustainable tourism metrics framework was adopted by 7 major hotel chains, generating $540K in annual licensing fees.</w:t>
      </w:r>
    </w:p>
    <w:p>
      <w:pPr>
        <w:numPr>
          <w:ilvl w:val="0"/>
          <w:numId w:val="1001"/>
        </w:numPr>
        <w:pStyle w:val="Compact"/>
      </w:pPr>
      <w:r>
        <w:rPr>
          <w:bCs/>
          <w:b/>
        </w:rPr>
        <w:t xml:space="preserve">Policy Alignment:</w:t>
      </w:r>
      <w:r>
        <w:t xml:space="preserve"> </w:t>
      </w:r>
      <w:r>
        <w:t xml:space="preserve">Miami's 2021 Innovation Act created tax incentives for research commercialization, directly increasing Academic Researcher-led sales conversions by 31% since implementation.</w:t>
      </w:r>
    </w:p>
    <w:bookmarkEnd w:id="27"/>
    <w:bookmarkStart w:id="28" w:name="competitive-positioning"/>
    <w:p>
      <w:pPr>
        <w:pStyle w:val="Heading2"/>
      </w:pPr>
      <w:r>
        <w:t xml:space="preserve">Competitive Positioning</w:t>
      </w:r>
    </w:p>
    <w:p>
      <w:pPr>
        <w:pStyle w:val="FirstParagraph"/>
      </w:pPr>
      <w:r>
        <w:t xml:space="preserve">While major research hubs like Boston and San Francisco lead in total research output, Miami has achieved a decisive competitive edge in commercialization velocity. Our Academic Researcher teams convert findings to marketable assets 2.3x faster than the national average (per NSF data), directly translating to higher sales efficiency. This positions Miami as the preferred location for research-driven companies seeking rapid monetization.</w:t>
      </w:r>
    </w:p>
    <w:bookmarkEnd w:id="28"/>
    <w:bookmarkStart w:id="29" w:name="recommendations-for-sales-growth"/>
    <w:p>
      <w:pPr>
        <w:pStyle w:val="Heading2"/>
      </w:pPr>
      <w:r>
        <w:t xml:space="preserve">Recommendations for Sales Growth</w:t>
      </w:r>
    </w:p>
    <w:p>
      <w:pPr>
        <w:numPr>
          <w:ilvl w:val="0"/>
          <w:numId w:val="1002"/>
        </w:numPr>
        <w:pStyle w:val="Compact"/>
      </w:pPr>
      <w:r>
        <w:rPr>
          <w:bCs/>
          <w:b/>
        </w:rPr>
        <w:t xml:space="preserve">Scale Climate Research Sales:</w:t>
      </w:r>
      <w:r>
        <w:t xml:space="preserve"> </w:t>
      </w:r>
      <w:r>
        <w:t xml:space="preserve">Allocate $500K to develop a Miami-specific "Climate Resilience Dashboard" for municipal sales – projected $1.2M annual revenue by 2025.</w:t>
      </w:r>
    </w:p>
    <w:p>
      <w:pPr>
        <w:numPr>
          <w:ilvl w:val="0"/>
          <w:numId w:val="1002"/>
        </w:numPr>
        <w:pStyle w:val="Compact"/>
      </w:pPr>
      <w:r>
        <w:rPr>
          <w:bCs/>
          <w:b/>
        </w:rPr>
        <w:t xml:space="preserve">Create Academic Researcher Sales Training:</w:t>
      </w:r>
      <w:r>
        <w:t xml:space="preserve"> </w:t>
      </w:r>
      <w:r>
        <w:t xml:space="preserve">Implement specialized workshops on commercialization strategy for all researchers (projected 15% increase in patent-to-revenue conversion).</w:t>
      </w:r>
    </w:p>
    <w:p>
      <w:pPr>
        <w:numPr>
          <w:ilvl w:val="0"/>
          <w:numId w:val="1002"/>
        </w:numPr>
        <w:pStyle w:val="Compact"/>
      </w:pPr>
      <w:r>
        <w:rPr>
          <w:bCs/>
          <w:b/>
        </w:rPr>
        <w:t xml:space="preserve">Leverage Miami's Diplomatic Presence:</w:t>
      </w:r>
      <w:r>
        <w:t xml:space="preserve"> </w:t>
      </w:r>
      <w:r>
        <w:t xml:space="preserve">Partner with Consulates to develop research-for-exports programs targeting Latin American markets, targeting $3M in new sales by Q2 2024.</w:t>
      </w:r>
    </w:p>
    <w:bookmarkEnd w:id="29"/>
    <w:bookmarkStart w:id="30" w:name="conclusion"/>
    <w:p>
      <w:pPr>
        <w:pStyle w:val="Heading2"/>
      </w:pPr>
      <w:r>
        <w:t xml:space="preserve">Conclusion</w:t>
      </w:r>
    </w:p>
    <w:p>
      <w:pPr>
        <w:pStyle w:val="FirstParagraph"/>
      </w:pPr>
      <w:r>
        <w:t xml:space="preserve">The Academic Researcher role has evolved from a traditional scholarly function to a core sales driver in the United States Miami market. By strategically aligning research with Miami's unique economic ecosystem – leveraging its geographic advantage, tourism infrastructure, and policy environment – our Academic Researchers have generated exceptional revenue streams that support institutional growth while addressing critical regional challenges. This Sales Report confirms that investing in Academic Researcher commercialization capabilities is not merely an operational priority but a fundamental sales strategy for success in the dynamic Miami marketplace. As Miami continues to attract global innovation capital, the role of Academic Researchers will remain central to our market leadership and revenue expansion.</w:t>
      </w:r>
    </w:p>
    <w:p>
      <w:pPr>
        <w:pStyle w:val="BodyText"/>
      </w:pPr>
      <w:r>
        <w:rPr>
          <w:bCs/>
          <w:b/>
        </w:rPr>
        <w:t xml:space="preserve">Key Insight:</w:t>
      </w:r>
      <w:r>
        <w:t xml:space="preserve"> </w:t>
      </w:r>
      <w:r>
        <w:t xml:space="preserve">In Miami, academic research isn't just about knowledge—it's about monetizing knowledge at the speed of market opportunity. Our Academic Researchers have proven that in the United States Miami ecosystem, the best research drives the strongest sales.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United States Miami Market</dc:title>
  <dc:creator/>
  <dc:language>en</dc:language>
  <cp:keywords/>
  <dcterms:created xsi:type="dcterms:W3CDTF">2026-07-24T16:53:40Z</dcterms:created>
  <dcterms:modified xsi:type="dcterms:W3CDTF">2026-07-24T16:53:40Z</dcterms:modified>
</cp:coreProperties>
</file>

<file path=docProps/custom.xml><?xml version="1.0" encoding="utf-8"?>
<Properties xmlns="http://schemas.openxmlformats.org/officeDocument/2006/custom-properties" xmlns:vt="http://schemas.openxmlformats.org/officeDocument/2006/docPropsVTypes"/>
</file>