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31" w:name="X71d86facaf14c5509dd55025734712eeabacd4f"/>
    <w:p>
      <w:pPr>
        <w:pStyle w:val="Heading1"/>
      </w:pPr>
      <w:r>
        <w:t xml:space="preserve">Sales Report: Academic Researcher Engagement and Market Analysis in United States New York City</w:t>
      </w:r>
    </w:p>
    <w:bookmarkStart w:id="20" w:name="executive-summary"/>
    <w:p>
      <w:pPr>
        <w:pStyle w:val="Heading2"/>
      </w:pPr>
      <w:r>
        <w:t xml:space="preserve">Executive Summary</w:t>
      </w:r>
    </w:p>
    <w:p>
      <w:pPr>
        <w:pStyle w:val="FirstParagraph"/>
      </w:pPr>
      <w:r>
        <w:t xml:space="preserve">This Sales Report details current engagement metrics, market dynamics, and strategic opportunities for academic research tools/services targeting the Academic Researcher community within the United States New York City ecosystem. As of Q3 2023, NYC represents a critical hub for academic innovation with over 170,000 active researchers across institutions like Columbia University, NYU, Rockefeller University, and Mount Sinai. The report confirms a 28% year-over-year increase in demand for specialized research solutions among Academic Researchers in the United States New York City market—driven by funding pressures, interdisciplinary collaboration needs, and evolving federal compliance requirements.</w:t>
      </w:r>
    </w:p>
    <w:bookmarkEnd w:id="20"/>
    <w:bookmarkStart w:id="21" w:name="market-context-why-new-york-city-matters"/>
    <w:p>
      <w:pPr>
        <w:pStyle w:val="Heading2"/>
      </w:pPr>
      <w:r>
        <w:t xml:space="preserve">Market Context: Why New York City Matters</w:t>
      </w:r>
    </w:p>
    <w:p>
      <w:pPr>
        <w:pStyle w:val="FirstParagraph"/>
      </w:pPr>
      <w:r>
        <w:t xml:space="preserve">New York City is not merely a geographic location but the epicenter of academic-industry convergence in the United States. Home to 10% of all National Institutes of Health (NIH) grants awarded nationally and 35% of Fortune 500 R&amp;D centers, NYC's Academic Researcher community operates in a uniquely high-stakes environment. Unlike other U.S. metropolitan areas, NYC researchers face distinct challenges: intense competition for federal funding (with only 18% success rates for NIH R01 grants in the region), dense institutional infrastructure requiring complex collaboration management, and stringent local compliance frameworks like the NYC Data Privacy Law (2022). This Sales Report underscores that solutions addressing these nuances see 4.3x higher adoption rates among Academic Researchers compared to generic alternatives.</w:t>
      </w:r>
    </w:p>
    <w:bookmarkEnd w:id="21"/>
    <w:bookmarkStart w:id="22" w:name="X33026c1d23d6a2f98c232996be06d5516a8d2a0"/>
    <w:p>
      <w:pPr>
        <w:pStyle w:val="Heading2"/>
      </w:pPr>
      <w:r>
        <w:t xml:space="preserve">Key Pain Points of the Academic Researcher in NYC</w:t>
      </w:r>
    </w:p>
    <w:p>
      <w:pPr>
        <w:pStyle w:val="FirstParagraph"/>
      </w:pPr>
      <w:r>
        <w:t xml:space="preserve">Through targeted interviews with 147 Academic Researchers across 15 NYC institutions (Q2 2023), three systemic challenges emerged:</w:t>
      </w:r>
    </w:p>
    <w:p>
      <w:pPr>
        <w:numPr>
          <w:ilvl w:val="0"/>
          <w:numId w:val="1001"/>
        </w:numPr>
        <w:pStyle w:val="Compact"/>
      </w:pPr>
      <w:r>
        <w:rPr>
          <w:bCs/>
          <w:b/>
        </w:rPr>
        <w:t xml:space="preserve">Funding Acquisition Complexity:</w:t>
      </w:r>
      <w:r>
        <w:t xml:space="preserve"> </w:t>
      </w:r>
      <w:r>
        <w:t xml:space="preserve">89% of researchers reported spending &gt;35 hours monthly on grant writing/administration. NIH application deadlines in NYC coincide with peak academic terms, creating unsustainable workloads.</w:t>
      </w:r>
    </w:p>
    <w:p>
      <w:pPr>
        <w:numPr>
          <w:ilvl w:val="0"/>
          <w:numId w:val="1001"/>
        </w:numPr>
        <w:pStyle w:val="Compact"/>
      </w:pPr>
      <w:r>
        <w:rPr>
          <w:bCs/>
          <w:b/>
        </w:rPr>
        <w:t xml:space="preserve">Cross-Institutional Collaboration Barriers:</w:t>
      </w:r>
      <w:r>
        <w:t xml:space="preserve"> </w:t>
      </w:r>
      <w:r>
        <w:t xml:space="preserve">Despite proximity to 20+ top-tier universities, only 31% of researchers regularly collaborate beyond their institution due to data-sharing protocol conflicts and competing institutional IT systems.</w:t>
      </w:r>
    </w:p>
    <w:p>
      <w:pPr>
        <w:numPr>
          <w:ilvl w:val="0"/>
          <w:numId w:val="1001"/>
        </w:numPr>
        <w:pStyle w:val="Compact"/>
      </w:pPr>
      <w:r>
        <w:rPr>
          <w:bCs/>
          <w:b/>
        </w:rPr>
        <w:t xml:space="preserve">Compliance Overhead:</w:t>
      </w:r>
      <w:r>
        <w:t xml:space="preserve"> </w:t>
      </w:r>
      <w:r>
        <w:t xml:space="preserve">76% cited federal (FISMA) and local (NYC DOHMH) compliance as a major time-sink, especially for biomedical research involving human subjects.</w:t>
      </w:r>
    </w:p>
    <w:bookmarkEnd w:id="22"/>
    <w:bookmarkStart w:id="23" w:name="X52e79372ddddb7f8f1160b92b2b0b9100da89f0"/>
    <w:p>
      <w:pPr>
        <w:pStyle w:val="Heading2"/>
      </w:pPr>
      <w:r>
        <w:t xml:space="preserve">Sales Performance Analysis: NYC Academic Researcher Segment</w:t>
      </w:r>
    </w:p>
    <w:p>
      <w:pPr>
        <w:pStyle w:val="FirstParagraph"/>
      </w:pPr>
      <w:r>
        <w:t xml:space="preserve">This report tracks adoption metrics of our analytics platform (rebranded as "ResearchFlow") specifically designed for U.S. academic researchers in New York City. Key findings:</w:t>
      </w:r>
    </w:p>
    <w:p>
      <w:pPr>
        <w:pStyle w:val="BodyText"/>
      </w:pPr>
      <w:r>
        <w:t xml:space="preserve">Metrics</w:t>
      </w:r>
    </w:p>
    <w:p>
      <w:pPr>
        <w:pStyle w:val="BodyText"/>
      </w:pPr>
      <w:r>
        <w:t xml:space="preserve">Q1 2023</w:t>
      </w:r>
    </w:p>
    <w:p>
      <w:pPr>
        <w:pStyle w:val="BodyText"/>
      </w:pPr>
      <w:r>
        <w:t xml:space="preserve">Q3 2023</w:t>
      </w:r>
    </w:p>
    <w:p>
      <w:pPr>
        <w:pStyle w:val="BodyText"/>
      </w:pPr>
      <w:r>
        <w:t xml:space="preserve">Growth Rate</w:t>
      </w:r>
    </w:p>
    <w:p>
      <w:pPr>
        <w:pStyle w:val="BodyText"/>
      </w:pPr>
      <w:r>
        <w:t xml:space="preserve">New Academic Researcher Contracts (NYC)</w:t>
      </w:r>
    </w:p>
    <w:p>
      <w:pPr>
        <w:pStyle w:val="BodyText"/>
      </w:pPr>
      <w:r>
        <w:t xml:space="preserve">47</w:t>
      </w:r>
    </w:p>
    <w:p>
      <w:pPr>
        <w:pStyle w:val="BodyText"/>
      </w:pPr>
      <w:r>
        <w:t xml:space="preserve">109</w:t>
      </w:r>
    </w:p>
    <w:p>
      <w:pPr>
        <w:pStyle w:val="BodyText"/>
      </w:pPr>
      <w:r>
        <w:t xml:space="preserve">+132%</w:t>
      </w:r>
    </w:p>
    <w:p>
      <w:pPr>
        <w:pStyle w:val="BodyText"/>
      </w:pPr>
      <w:r>
        <w:t xml:space="preserve">Avg. Contract Value (Per NYC Academic Researcher)</w:t>
      </w:r>
    </w:p>
    <w:p>
      <w:pPr>
        <w:pStyle w:val="BodyText"/>
      </w:pPr>
      <w:r>
        <w:t xml:space="preserve">$8,200</w:t>
      </w:r>
    </w:p>
    <w:p>
      <w:pPr>
        <w:pStyle w:val="BodyText"/>
      </w:pPr>
      <w:r>
        <w:t xml:space="preserve">$11,650</w:t>
      </w:r>
    </w:p>
    <w:p>
      <w:pPr>
        <w:pStyle w:val="BodyText"/>
      </w:pPr>
      <w:r>
        <w:t xml:space="preserve">Client Retention Rate (NYC)</w:t>
      </w:r>
    </w:p>
    <w:p>
      <w:pPr>
        <w:pStyle w:val="BodyText"/>
      </w:pPr>
      <w:r>
        <w:t xml:space="preserve">74%</w:t>
      </w:r>
    </w:p>
    <w:p>
      <w:pPr>
        <w:pStyle w:val="BodyText"/>
      </w:pPr>
      <w:r>
        <w:t xml:space="preserve">89%</w:t>
      </w:r>
    </w:p>
    <w:p>
      <w:pPr>
        <w:pStyle w:val="BodyText"/>
      </w:pPr>
      <w:r>
        <w:t xml:space="preserve">Cross-Sell Success Rate (Compliance Modules)</w:t>
      </w:r>
    </w:p>
    <w:p>
      <w:pPr>
        <w:pStyle w:val="BodyText"/>
      </w:pPr>
      <w:r>
        <w:br/>
      </w:r>
    </w:p>
    <w:p>
      <w:pPr>
        <w:pStyle w:val="BodyText"/>
      </w:pPr>
      <w:r>
        <w:rPr>
          <w:bCs/>
          <w:b/>
        </w:rPr>
        <w:t xml:space="preserve">National Average: 31% | NYC Average: 68%</w:t>
      </w:r>
    </w:p>
    <w:bookmarkEnd w:id="23"/>
    <w:bookmarkStart w:id="27" w:name="X71c6a076c90a18f0e5da1825c3b8438f4bcce0e"/>
    <w:p>
      <w:pPr>
        <w:pStyle w:val="Heading2"/>
      </w:pPr>
      <w:r>
        <w:t xml:space="preserve">Strategic Opportunities in United States New York City</w:t>
      </w:r>
    </w:p>
    <w:p>
      <w:pPr>
        <w:pStyle w:val="FirstParagraph"/>
      </w:pPr>
      <w:r>
        <w:t xml:space="preserve">The data reveals three high-potential avenues for expanding engagement with Academic Researchers:</w:t>
      </w:r>
    </w:p>
    <w:bookmarkStart w:id="24" w:name="federal-grant-acceleration-partnerships"/>
    <w:p>
      <w:pPr>
        <w:pStyle w:val="Heading3"/>
      </w:pPr>
      <w:r>
        <w:t xml:space="preserve">1. Federal Grant Acceleration Partnerships</w:t>
      </w:r>
    </w:p>
    <w:p>
      <w:pPr>
        <w:pStyle w:val="FirstParagraph"/>
      </w:pPr>
      <w:r>
        <w:t xml:space="preserve">NYC’s concentration of NIH-funded labs creates a prime opportunity to integrate our platform with the NIH eRA Commons system. A pilot program with Columbia University’s Office of Sponsored Programs reduced grant submission time by 52% in Q2 2023, directly addressing the #1 pain point identified. We project $1.8M in new revenue from such partnerships within NYC by end-2024.</w:t>
      </w:r>
    </w:p>
    <w:bookmarkEnd w:id="24"/>
    <w:bookmarkStart w:id="25" w:name="inter-institutional-data-co-pilots"/>
    <w:p>
      <w:pPr>
        <w:pStyle w:val="Heading3"/>
      </w:pPr>
      <w:r>
        <w:t xml:space="preserve">2. Inter-Institutional Data Co-Pilots</w:t>
      </w:r>
    </w:p>
    <w:p>
      <w:pPr>
        <w:pStyle w:val="FirstParagraph"/>
      </w:pPr>
      <w:r>
        <w:t xml:space="preserve">Developing secure, compliant data-sharing protocols between NYC institutions (e.g., NYU-Weill Cornell), our "CollabLink" module has achieved 79% adoption among Academic Researchers at participating universities. This solves the collaboration barrier while meeting NYC’s strict data sovereignty requirements.</w:t>
      </w:r>
    </w:p>
    <w:bookmarkEnd w:id="25"/>
    <w:bookmarkStart w:id="26" w:name="compliance-automation-suite"/>
    <w:p>
      <w:pPr>
        <w:pStyle w:val="Heading3"/>
      </w:pPr>
      <w:r>
        <w:t xml:space="preserve">3. Compliance Automation Suite</w:t>
      </w:r>
    </w:p>
    <w:p>
      <w:pPr>
        <w:pStyle w:val="FirstParagraph"/>
      </w:pPr>
      <w:r>
        <w:t xml:space="preserve">Our NYC-specific compliance dashboard (covering FISMA, NY State Education Department rules, and NYC DOHMH) has reduced administrative hours by 22 hours per researcher monthly. This solution now accounts for 41% of all renewals from Academic Researchers in the United States New York City market—significantly higher than the national average.</w:t>
      </w:r>
    </w:p>
    <w:bookmarkEnd w:id="26"/>
    <w:bookmarkEnd w:id="27"/>
    <w:bookmarkStart w:id="28" w:name="competitive-landscape-assessment"/>
    <w:p>
      <w:pPr>
        <w:pStyle w:val="Heading2"/>
      </w:pPr>
      <w:r>
        <w:t xml:space="preserve">Competitive Landscape Assessment</w:t>
      </w:r>
    </w:p>
    <w:p>
      <w:pPr>
        <w:pStyle w:val="FirstParagraph"/>
      </w:pPr>
      <w:r>
        <w:t xml:space="preserve">While national competitors (e.g., LabArchives, Citeline) dominate broader academic markets, they lack NYC-specific adaptations. Our Sales Report confirms that 63% of Academic Researchers reject non-localized solutions due to mismatched compliance frameworks. In contrast, our platform’s integration with NYC Health + Hospitals data systems and adherence to the New York State Cybersecurity Regulations provide a decisive competitive edge in the local market.</w:t>
      </w:r>
    </w:p>
    <w:bookmarkEnd w:id="28"/>
    <w:bookmarkStart w:id="29" w:name="recommendations-for-sales-strategy"/>
    <w:p>
      <w:pPr>
        <w:pStyle w:val="Heading2"/>
      </w:pPr>
      <w:r>
        <w:t xml:space="preserve">Recommendations for Sales Strategy</w:t>
      </w:r>
    </w:p>
    <w:p>
      <w:pPr>
        <w:pStyle w:val="FirstParagraph"/>
      </w:pPr>
      <w:r>
        <w:t xml:space="preserve">To maximize growth in United States New York City, we recommend:</w:t>
      </w:r>
    </w:p>
    <w:p>
      <w:pPr>
        <w:numPr>
          <w:ilvl w:val="0"/>
          <w:numId w:val="1002"/>
        </w:numPr>
        <w:pStyle w:val="Compact"/>
      </w:pPr>
      <w:r>
        <w:rPr>
          <w:bCs/>
          <w:b/>
        </w:rPr>
        <w:t xml:space="preserve">Deploy NYC-First Product Teams:</w:t>
      </w:r>
      <w:r>
        <w:t xml:space="preserve"> </w:t>
      </w:r>
      <w:r>
        <w:t xml:space="preserve">Establish dedicated sales engineers embedded at Columbia, NYU, and Rockefeller to co-develop features with Academic Researchers (e.g., NIH deadline alerts synced with university calendars).</w:t>
      </w:r>
    </w:p>
    <w:p>
      <w:pPr>
        <w:numPr>
          <w:ilvl w:val="0"/>
          <w:numId w:val="1002"/>
        </w:numPr>
        <w:pStyle w:val="Compact"/>
      </w:pPr>
      <w:r>
        <w:rPr>
          <w:bCs/>
          <w:b/>
        </w:rPr>
        <w:t xml:space="preserve">Leverage Institutional Alliances:</w:t>
      </w:r>
      <w:r>
        <w:t xml:space="preserve"> </w:t>
      </w:r>
      <w:r>
        <w:t xml:space="preserve">Formalize partnerships with the NYC Research Alliance (funded by NYC Economic Development Corporation) for subsidized pilot programs targeting 50+ institutions.</w:t>
      </w:r>
    </w:p>
    <w:p>
      <w:pPr>
        <w:numPr>
          <w:ilvl w:val="0"/>
          <w:numId w:val="1002"/>
        </w:numPr>
        <w:pStyle w:val="Compact"/>
      </w:pPr>
      <w:r>
        <w:rPr>
          <w:bCs/>
          <w:b/>
        </w:rPr>
        <w:t xml:space="preserve">Target High-Impact Grant Cycles:</w:t>
      </w:r>
      <w:r>
        <w:t xml:space="preserve"> </w:t>
      </w:r>
      <w:r>
        <w:t xml:space="preserve">Align sales outreach with NIH R01 submission windows (January–February) when Academic Researchers are most receptive to time-saving solutions.</w:t>
      </w:r>
    </w:p>
    <w:bookmarkEnd w:id="29"/>
    <w:bookmarkStart w:id="30" w:name="conclusion"/>
    <w:p>
      <w:pPr>
        <w:pStyle w:val="Heading2"/>
      </w:pPr>
      <w:r>
        <w:t xml:space="preserve">Conclusion</w:t>
      </w:r>
    </w:p>
    <w:p>
      <w:pPr>
        <w:pStyle w:val="FirstParagraph"/>
      </w:pPr>
      <w:r>
        <w:t xml:space="preserve">The United States New York City market represents a $387 million revenue opportunity for specialized academic research tools, with Academic Researchers demonstrating exceptional willingness to adopt solutions addressing their region-specific challenges. This Sales Report confirms that hyper-localized engagement—grounded in NYC’s unique funding ecosystem, compliance landscape, and institutional dynamics—is the key to sustainable growth. We project 95% of all new Academic Researcher contracts in the U.S. East Coast will originate from New York City by Q2 2025 if we maintain our current adoption velocity. The time for generic solutions has passed; success here requires understanding that an Academic Researcher in NYC is not merely a user but a strategic partner navigating one of the world’s most complex academic environments.</w:t>
      </w:r>
    </w:p>
    <w:p>
      <w:pPr>
        <w:pStyle w:val="BodyText"/>
      </w:pPr>
      <w:r>
        <w:rPr>
          <w:iCs/>
          <w:i/>
        </w:rPr>
        <w:t xml:space="preserve">Prepared by: Global Sales Intelligence Team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Engagement in United States New York City Market</dc:title>
  <dc:creator/>
  <dc:language>en</dc:language>
  <cp:keywords/>
  <dcterms:created xsi:type="dcterms:W3CDTF">2026-07-24T15:24:10Z</dcterms:created>
  <dcterms:modified xsi:type="dcterms:W3CDTF">2026-07-24T15:24:10Z</dcterms:modified>
</cp:coreProperties>
</file>

<file path=docProps/custom.xml><?xml version="1.0" encoding="utf-8"?>
<Properties xmlns="http://schemas.openxmlformats.org/officeDocument/2006/custom-properties" xmlns:vt="http://schemas.openxmlformats.org/officeDocument/2006/docPropsVTypes"/>
</file>