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0" w:name="Xb9a6ade8f6a5578f364203d61dd82382cdbd1a5"/>
    <w:p>
      <w:pPr>
        <w:pStyle w:val="Heading1"/>
      </w:pPr>
      <w:r>
        <w:t xml:space="preserve">2024 Q3 Sales Report: Targeting Academic Researchers in the United States San Francisco Ecosystem</w:t>
      </w:r>
    </w:p>
    <w:bookmarkStart w:id="20" w:name="executive-summary"/>
    <w:p>
      <w:pPr>
        <w:pStyle w:val="Heading2"/>
      </w:pPr>
      <w:r>
        <w:t xml:space="preserve">Executive Summary</w:t>
      </w:r>
    </w:p>
    <w:p>
      <w:pPr>
        <w:pStyle w:val="FirstParagraph"/>
      </w:pPr>
      <w:r>
        <w:t xml:space="preserve">This report details sales performance and strategic insights for our research tools and collaborative platforms targeting</w:t>
      </w:r>
      <w:r>
        <w:t xml:space="preserve"> </w:t>
      </w:r>
      <w:r>
        <w:rPr>
          <w:bCs/>
          <w:b/>
        </w:rPr>
        <w:t xml:space="preserve">Academic Researchers</w:t>
      </w:r>
      <w:r>
        <w:t xml:space="preserve"> </w:t>
      </w:r>
      <w:r>
        <w:t xml:space="preserve">across the</w:t>
      </w:r>
      <w:r>
        <w:t xml:space="preserve"> </w:t>
      </w:r>
      <w:r>
        <w:rPr>
          <w:bCs/>
          <w:b/>
        </w:rPr>
        <w:t xml:space="preserve">United States San Francisco</w:t>
      </w:r>
      <w:r>
        <w:t xml:space="preserve"> </w:t>
      </w:r>
      <w:r>
        <w:t xml:space="preserve">metropolitan area. The San Francisco Bay Area represents a critical hub for academic innovation, housing world-class institutions like Stanford University, UC Berkeley, UCSF, and Lawrence Berkeley National Laboratory. Our Q3 strategy focused on deepening engagement with this high-value segment through tailored solutions addressing data complexity in life sciences and AI-driven research. Sales performance exceeded targets by 22%, generating $1.87M in revenue with a 37% year-over-year growth rate among academic institutional contracts.</w:t>
      </w:r>
    </w:p>
    <w:bookmarkEnd w:id="20"/>
    <w:bookmarkStart w:id="21" w:name="X9c48a38d25f1654b8da8ca9bdbf2abea902b6ff"/>
    <w:p>
      <w:pPr>
        <w:pStyle w:val="Heading2"/>
      </w:pPr>
      <w:r>
        <w:t xml:space="preserve">Market Analysis: Academic Researcher Dynamics in San Francisco</w:t>
      </w:r>
    </w:p>
    <w:p>
      <w:pPr>
        <w:pStyle w:val="FirstParagraph"/>
      </w:pPr>
      <w:r>
        <w:t xml:space="preserve">The</w:t>
      </w:r>
      <w:r>
        <w:t xml:space="preserve"> </w:t>
      </w:r>
      <w:r>
        <w:rPr>
          <w:bCs/>
          <w:b/>
        </w:rPr>
        <w:t xml:space="preserve">United States San Francisco</w:t>
      </w:r>
      <w:r>
        <w:t xml:space="preserve"> </w:t>
      </w:r>
      <w:r>
        <w:t xml:space="preserve">region commands 18% of national academic research funding, with $4.3B allocated to life sciences and computational fields in 2023 alone. Key trends shaping our sales approach include:</w:t>
      </w:r>
    </w:p>
    <w:p>
      <w:pPr>
        <w:numPr>
          <w:ilvl w:val="0"/>
          <w:numId w:val="1001"/>
        </w:numPr>
        <w:pStyle w:val="Compact"/>
      </w:pPr>
      <w:r>
        <w:rPr>
          <w:bCs/>
          <w:b/>
        </w:rPr>
        <w:t xml:space="preserve">Rise of Collaborative Research Platforms:</w:t>
      </w:r>
      <w:r>
        <w:t xml:space="preserve"> </w:t>
      </w:r>
      <w:r>
        <w:t xml:space="preserve">76% of San Francisco-based researchers now require integrated tools for multi-institutional projects (Stanford Center for Data-Driven Discovery, 2024).</w:t>
      </w:r>
    </w:p>
    <w:p>
      <w:pPr>
        <w:numPr>
          <w:ilvl w:val="0"/>
          <w:numId w:val="1001"/>
        </w:numPr>
        <w:pStyle w:val="Compact"/>
      </w:pPr>
      <w:r>
        <w:rPr>
          <w:bCs/>
          <w:b/>
        </w:rPr>
        <w:t xml:space="preserve">AI Integration Demand:</w:t>
      </w:r>
      <w:r>
        <w:t xml:space="preserve"> </w:t>
      </w:r>
      <w:r>
        <w:t xml:space="preserve">68% of surveyed researchers at UCSF and Berkeley seek AI-assisted data analysis capabilities in their workflows.</w:t>
      </w:r>
    </w:p>
    <w:p>
      <w:pPr>
        <w:numPr>
          <w:ilvl w:val="0"/>
          <w:numId w:val="1001"/>
        </w:numPr>
        <w:pStyle w:val="Compact"/>
      </w:pPr>
      <w:r>
        <w:rPr>
          <w:bCs/>
          <w:b/>
        </w:rPr>
        <w:t xml:space="preserve">Funding Pressures:</w:t>
      </w:r>
      <w:r>
        <w:t xml:space="preserve"> </w:t>
      </w:r>
      <w:r>
        <w:t xml:space="preserve">Grant competition has intensified, making cost-effective research solutions a priority for academic budget officers.</w:t>
      </w:r>
    </w:p>
    <w:p>
      <w:pPr>
        <w:pStyle w:val="FirstParagraph"/>
      </w:pPr>
      <w:r>
        <w:t xml:space="preserve">We identified three primary</w:t>
      </w:r>
      <w:r>
        <w:t xml:space="preserve"> </w:t>
      </w:r>
      <w:r>
        <w:rPr>
          <w:bCs/>
          <w:b/>
        </w:rPr>
        <w:t xml:space="preserve">Academic Researcher</w:t>
      </w:r>
      <w:r>
        <w:t xml:space="preserve"> </w:t>
      </w:r>
      <w:r>
        <w:t xml:space="preserve">personas within the San Francisco market:</w:t>
      </w:r>
    </w:p>
    <w:p>
      <w:pPr>
        <w:pStyle w:val="BodyText"/>
      </w:pPr>
      <w:r>
        <w:t xml:space="preserve">Persona</w:t>
      </w:r>
    </w:p>
    <w:p>
      <w:pPr>
        <w:pStyle w:val="BodyText"/>
      </w:pPr>
      <w:r>
        <w:t xml:space="preserve">Institutional Focus</w:t>
      </w:r>
    </w:p>
    <w:p>
      <w:pPr>
        <w:pStyle w:val="BodyText"/>
      </w:pPr>
      <w:r>
        <w:t xml:space="preserve">Pain Points</w:t>
      </w:r>
    </w:p>
    <w:p>
      <w:pPr>
        <w:pStyle w:val="BodyText"/>
      </w:pPr>
      <w:r>
        <w:t xml:space="preserve">Solution Fit</w:t>
      </w:r>
    </w:p>
    <w:p>
      <w:pPr>
        <w:pStyle w:val="BodyText"/>
      </w:pPr>
      <w:r>
        <w:t xml:space="preserve">Senior Biomedical Researcher (55+)</w:t>
      </w:r>
    </w:p>
    <w:p>
      <w:pPr>
        <w:pStyle w:val="BodyText"/>
      </w:pPr>
      <w:r>
        <w:t xml:space="preserve">UCSF, Stanford Medicine</w:t>
      </w:r>
    </w:p>
    <w:p>
      <w:pPr>
        <w:pStyle w:val="BodyText"/>
      </w:pPr>
      <w:r>
        <w:t xml:space="preserve">Limited IT support; grant compliance burdens</w:t>
      </w:r>
    </w:p>
    <w:p>
      <w:pPr>
        <w:pStyle w:val="BodyText"/>
      </w:pPr>
      <w:r>
        <w:t xml:space="preserve">Compliance-focused analytics suite ($48K/yr)</w:t>
      </w:r>
    </w:p>
    <w:p>
      <w:pPr>
        <w:pStyle w:val="BodyText"/>
      </w:pPr>
      <w:r>
        <w:t xml:space="preserve">Data-Intensive Lab Lead (35-45)</w:t>
      </w:r>
    </w:p>
    <w:p>
      <w:pPr>
        <w:pStyle w:val="BodyText"/>
      </w:pPr>
      <w:r>
        <w:t xml:space="preserve">Berkeley, Lawrence Berkeley National Lab</w:t>
      </w:r>
    </w:p>
    <w:p>
      <w:pPr>
        <w:pStyle w:val="BodyText"/>
      </w:pPr>
      <w:r>
        <w:t xml:space="preserve">Cloud storage costs; cross-platform data silos</w:t>
      </w:r>
    </w:p>
    <w:p>
      <w:pPr>
        <w:pStyle w:val="BodyText"/>
      </w:pPr>
      <w:r>
        <w:t xml:space="preserve">&lt;</w:t>
      </w:r>
    </w:p>
    <w:p>
      <w:pPr>
        <w:pStyle w:val="BodyText"/>
      </w:pPr>
      <w:r>
        <w:t xml:space="preserve">Unified research platform (Enterprise license)</w:t>
      </w:r>
    </w:p>
    <w:p>
      <w:pPr>
        <w:pStyle w:val="BodyText"/>
      </w:pPr>
      <w:r>
        <w:t xml:space="preserve">Early-Career Investigator (28-34)</w:t>
      </w:r>
    </w:p>
    <w:p>
      <w:pPr>
        <w:pStyle w:val="BodyText"/>
      </w:pPr>
      <w:r>
        <w:t xml:space="preserve">All major universities</w:t>
      </w:r>
    </w:p>
    <w:p>
      <w:pPr>
        <w:pStyle w:val="BodyText"/>
      </w:pPr>
      <w:r>
        <w:t xml:space="preserve">Funding access; tool accessibility</w:t>
      </w:r>
    </w:p>
    <w:p>
      <w:pPr>
        <w:pStyle w:val="BodyText"/>
      </w:pPr>
      <w:r>
        <w:t xml:space="preserve">Freemium tier + grant-writing support ($15K/yr)</w:t>
      </w:r>
    </w:p>
    <w:bookmarkEnd w:id="21"/>
    <w:bookmarkStart w:id="25" w:name="Xea3023049841f27a5de837ba69d7222e5c940fe"/>
    <w:p>
      <w:pPr>
        <w:pStyle w:val="Heading2"/>
      </w:pPr>
      <w:r>
        <w:t xml:space="preserve">Sales Strategy Execution in San Francisco</w:t>
      </w:r>
    </w:p>
    <w:p>
      <w:pPr>
        <w:pStyle w:val="FirstParagraph"/>
      </w:pPr>
      <w:r>
        <w:t xml:space="preserve">Our Q3 approach centered on hyper-localized engagement within the</w:t>
      </w:r>
      <w:r>
        <w:t xml:space="preserve"> </w:t>
      </w:r>
      <w:r>
        <w:rPr>
          <w:bCs/>
          <w:b/>
        </w:rPr>
        <w:t xml:space="preserve">United States San Francisco</w:t>
      </w:r>
      <w:r>
        <w:t xml:space="preserve"> </w:t>
      </w:r>
      <w:r>
        <w:t xml:space="preserve">innovation ecosystem:</w:t>
      </w:r>
    </w:p>
    <w:bookmarkStart w:id="22" w:name="tactile-engagement-at-local-landmarks"/>
    <w:p>
      <w:pPr>
        <w:pStyle w:val="Heading3"/>
      </w:pPr>
      <w:r>
        <w:t xml:space="preserve">Tactile Engagement at Local Landmarks</w:t>
      </w:r>
    </w:p>
    <w:p>
      <w:pPr>
        <w:pStyle w:val="FirstParagraph"/>
      </w:pPr>
      <w:r>
        <w:t xml:space="preserve">We deployed a "Researcher Experience Pod" at the Stanford Research Park Innovation Hub and UCSF Mission Bay campus, hosting monthly drop-in sessions. Sales representatives conducted 147 researcher consultations during Q3, with 62% of attendees becoming qualified leads. The strategy proved effective as 89% of San Francisco researchers cited "in-person understanding" as critical to purchase decisions (per our post-engagement survey).</w:t>
      </w:r>
    </w:p>
    <w:bookmarkEnd w:id="22"/>
    <w:bookmarkStart w:id="23" w:name="academic-partnership-programs"/>
    <w:p>
      <w:pPr>
        <w:pStyle w:val="Heading3"/>
      </w:pPr>
      <w:r>
        <w:t xml:space="preserve">Academic Partnership Programs</w:t>
      </w:r>
    </w:p>
    <w:p>
      <w:pPr>
        <w:pStyle w:val="FirstParagraph"/>
      </w:pPr>
      <w:r>
        <w:t xml:space="preserve">We formalized partnerships with two key</w:t>
      </w:r>
      <w:r>
        <w:t xml:space="preserve"> </w:t>
      </w:r>
      <w:r>
        <w:rPr>
          <w:bCs/>
          <w:b/>
        </w:rPr>
        <w:t xml:space="preserve">Academic Researcher</w:t>
      </w:r>
      <w:r>
        <w:t xml:space="preserve">-facing entities:</w:t>
      </w:r>
    </w:p>
    <w:p>
      <w:pPr>
        <w:numPr>
          <w:ilvl w:val="0"/>
          <w:numId w:val="1002"/>
        </w:numPr>
        <w:pStyle w:val="Compact"/>
      </w:pPr>
      <w:r>
        <w:rPr>
          <w:iCs/>
          <w:i/>
        </w:rPr>
        <w:t xml:space="preserve">UCSF Research Computing Group:</w:t>
      </w:r>
      <w:r>
        <w:t xml:space="preserve"> </w:t>
      </w:r>
      <w:r>
        <w:t xml:space="preserve">Co-developed a campus-specific solution package reducing data processing time by 41% for cancer research teams. Resulted in a $320K institutional contract.</w:t>
      </w:r>
    </w:p>
    <w:p>
      <w:pPr>
        <w:numPr>
          <w:ilvl w:val="0"/>
          <w:numId w:val="1002"/>
        </w:numPr>
        <w:pStyle w:val="Compact"/>
      </w:pPr>
      <w:r>
        <w:rPr>
          <w:iCs/>
          <w:i/>
        </w:rPr>
        <w:t xml:space="preserve">Stanford Bio-X Program:</w:t>
      </w:r>
      <w:r>
        <w:t xml:space="preserve"> </w:t>
      </w:r>
      <w:r>
        <w:t xml:space="preserve">Provided premium platform access to 215 researchers through their innovation grant program, generating $87K in direct sales and 73 qualified pipeline leads.</w:t>
      </w:r>
    </w:p>
    <w:bookmarkEnd w:id="23"/>
    <w:bookmarkStart w:id="24" w:name="Xc192f35d0f4286001271b2f4561d5d769984b6d"/>
    <w:p>
      <w:pPr>
        <w:pStyle w:val="Heading3"/>
      </w:pPr>
      <w:r>
        <w:t xml:space="preserve">Digital Targeting with San Francisco Context</w:t>
      </w:r>
    </w:p>
    <w:p>
      <w:pPr>
        <w:pStyle w:val="FirstParagraph"/>
      </w:pPr>
      <w:r>
        <w:t xml:space="preserve">We leveraged location-based LinkedIn campaigns targeting researchers in the SF Bay Area with messaging referencing local institutions:</w:t>
      </w:r>
    </w:p>
    <w:p>
      <w:pPr>
        <w:numPr>
          <w:ilvl w:val="0"/>
          <w:numId w:val="1003"/>
        </w:numPr>
        <w:pStyle w:val="Compact"/>
      </w:pPr>
      <w:r>
        <w:t xml:space="preserve">Ad copy: "Solve Data Silos at UCSF | 40% Faster Research Output"</w:t>
      </w:r>
    </w:p>
    <w:p>
      <w:pPr>
        <w:numPr>
          <w:ilvl w:val="0"/>
          <w:numId w:val="1003"/>
        </w:numPr>
        <w:pStyle w:val="Compact"/>
      </w:pPr>
      <w:r>
        <w:t xml:space="preserve">Geo-targeting: Within 15 miles of Stanford, UC Berkeley, and UCSF campuses</w:t>
      </w:r>
    </w:p>
    <w:p>
      <w:pPr>
        <w:pStyle w:val="FirstParagraph"/>
      </w:pPr>
      <w:r>
        <w:t xml:space="preserve">This drove a 29% higher click-through rate versus national campaigns.</w:t>
      </w:r>
    </w:p>
    <w:bookmarkEnd w:id="24"/>
    <w:bookmarkEnd w:id="25"/>
    <w:bookmarkStart w:id="26" w:name="performance-metrics-financial-impact"/>
    <w:p>
      <w:pPr>
        <w:pStyle w:val="Heading2"/>
      </w:pPr>
      <w:r>
        <w:t xml:space="preserve">Performance Metrics &amp; Financial Impact</w:t>
      </w:r>
    </w:p>
    <w:p>
      <w:pPr>
        <w:pStyle w:val="FirstParagraph"/>
      </w:pPr>
      <w:r>
        <w:t xml:space="preserve">The San Francisco academic segment accounted for 63% of our Q3 revenue from the education sector. Key achievements include:</w:t>
      </w:r>
    </w:p>
    <w:p>
      <w:pPr>
        <w:pStyle w:val="BodyText"/>
      </w:pPr>
      <w:r>
        <w:t xml:space="preserve">Key Metric</w:t>
      </w:r>
    </w:p>
    <w:p>
      <w:pPr>
        <w:pStyle w:val="BodyText"/>
      </w:pPr>
      <w:r>
        <w:t xml:space="preserve">Q2 2024</w:t>
      </w:r>
    </w:p>
    <w:p>
      <w:pPr>
        <w:pStyle w:val="BodyText"/>
      </w:pPr>
      <w:r>
        <w:t xml:space="preserve">Q3 2024</w:t>
      </w:r>
    </w:p>
    <w:p>
      <w:pPr>
        <w:pStyle w:val="BodyText"/>
      </w:pPr>
      <w:r>
        <w:t xml:space="preserve">% Change</w:t>
      </w:r>
    </w:p>
    <w:p>
      <w:pPr>
        <w:pStyle w:val="BodyText"/>
      </w:pPr>
      <w:r>
        <w:t xml:space="preserve">Total Revenue (Academic Segment)</w:t>
      </w:r>
    </w:p>
    <w:p>
      <w:pPr>
        <w:pStyle w:val="BodyText"/>
      </w:pPr>
      <w:r>
        <w:t xml:space="preserve">$1.53M</w:t>
      </w:r>
    </w:p>
    <w:p>
      <w:pPr>
        <w:pStyle w:val="BodyText"/>
      </w:pPr>
      <w:r>
        <w:t xml:space="preserve">$1.87M</w:t>
      </w:r>
    </w:p>
    <w:p>
      <w:pPr>
        <w:pStyle w:val="BodyText"/>
      </w:pPr>
      <w:r>
        <w:t xml:space="preserve">+22%</w:t>
      </w:r>
    </w:p>
    <w:p>
      <w:pPr>
        <w:pStyle w:val="BodyText"/>
      </w:pPr>
      <w:r>
        <w:t xml:space="preserve">Qualified Leads from SF</w:t>
      </w:r>
    </w:p>
    <w:p>
      <w:pPr>
        <w:pStyle w:val="BodyText"/>
      </w:pPr>
      <w:r>
        <w:t xml:space="preserve">98</w:t>
      </w:r>
    </w:p>
    <w:p>
      <w:pPr>
        <w:pStyle w:val="BodyText"/>
      </w:pPr>
      <w:r>
        <w:t xml:space="preserve">&lt;</w:t>
      </w:r>
    </w:p>
    <w:p>
      <w:pPr>
        <w:pStyle w:val="BodyText"/>
      </w:pPr>
      <w:r>
        <w:t xml:space="preserve">147</w:t>
      </w:r>
    </w:p>
    <w:p>
      <w:pPr>
        <w:pStyle w:val="BodyText"/>
      </w:pPr>
      <w:r>
        <w:t xml:space="preserve">&lt;</w:t>
      </w:r>
    </w:p>
    <w:p>
      <w:pPr>
        <w:pStyle w:val="BodyText"/>
      </w:pPr>
      <w:r>
        <w:t xml:space="preserve">+50%</w:t>
      </w:r>
    </w:p>
    <w:p>
      <w:pPr>
        <w:pStyle w:val="BodyText"/>
      </w:pPr>
      <w:r>
        <w:t xml:space="preserve">CAC (San Francisco)</w:t>
      </w:r>
    </w:p>
    <w:p>
      <w:pPr>
        <w:pStyle w:val="BodyText"/>
      </w:pPr>
      <w:r>
        <w:t xml:space="preserve">$5,800</w:t>
      </w:r>
    </w:p>
    <w:p>
      <w:pPr>
        <w:pStyle w:val="BodyText"/>
      </w:pPr>
      <w:r>
        <w:t xml:space="preserve">&lt;</w:t>
      </w:r>
    </w:p>
    <w:p>
      <w:pPr>
        <w:pStyle w:val="BodyText"/>
      </w:pPr>
      <w:r>
        <w:t xml:space="preserve">$4,200</w:t>
      </w:r>
    </w:p>
    <w:p>
      <w:pPr>
        <w:pStyle w:val="BodyText"/>
      </w:pPr>
      <w:r>
        <w:t xml:space="preserve">-28%</w:t>
      </w:r>
    </w:p>
    <w:p>
      <w:pPr>
        <w:pStyle w:val="BodyText"/>
      </w:pPr>
      <w:r>
        <w:t xml:space="preserve">Client Retention Rate</w:t>
      </w:r>
    </w:p>
    <w:p>
      <w:pPr>
        <w:pStyle w:val="BodyText"/>
      </w:pPr>
      <w:r>
        <w:t xml:space="preserve">79%86%</w:t>
      </w:r>
    </w:p>
    <w:bookmarkEnd w:id="26"/>
    <w:bookmarkStart w:id="27" w:name="challenges-strategic-adjustments"/>
    <w:p>
      <w:pPr>
        <w:pStyle w:val="Heading2"/>
      </w:pPr>
      <w:r>
        <w:t xml:space="preserve">Challenges &amp; Strategic Adjustments</w:t>
      </w:r>
    </w:p>
    <w:p>
      <w:pPr>
        <w:pStyle w:val="FirstParagraph"/>
      </w:pPr>
      <w:r>
        <w:t xml:space="preserve">We encountered two significant challenges in the San Francisco market:</w:t>
      </w:r>
    </w:p>
    <w:p>
      <w:pPr>
        <w:numPr>
          <w:ilvl w:val="0"/>
          <w:numId w:val="1004"/>
        </w:numPr>
        <w:pStyle w:val="Compact"/>
      </w:pPr>
      <w:r>
        <w:rPr>
          <w:bCs/>
          <w:b/>
        </w:rPr>
        <w:t xml:space="preserve">Institutional Procurement Delays:</w:t>
      </w:r>
      <w:r>
        <w:t xml:space="preserve"> </w:t>
      </w:r>
      <w:r>
        <w:t xml:space="preserve">40% of contracts experienced 90+ day delays due to university procurement cycles. Solution: Implemented dedicated "Academic Contracts Specialist" role for SF region, reducing cycle time by 38%.</w:t>
      </w:r>
    </w:p>
    <w:p>
      <w:pPr>
        <w:numPr>
          <w:ilvl w:val="0"/>
          <w:numId w:val="1004"/>
        </w:numPr>
        <w:pStyle w:val="Compact"/>
      </w:pPr>
      <w:r>
        <w:rPr>
          <w:bCs/>
          <w:b/>
        </w:rPr>
        <w:t xml:space="preserve">Competitive Pricing Pressure:</w:t>
      </w:r>
      <w:r>
        <w:t xml:space="preserve"> </w:t>
      </w:r>
      <w:r>
        <w:t xml:space="preserve">Local competitors offered lower-cost alternatives. Countermeasure: Introduced tiered pricing with academic discounts (15-25% off) and bundled training credits.</w:t>
      </w:r>
    </w:p>
    <w:bookmarkEnd w:id="27"/>
    <w:bookmarkStart w:id="28" w:name="X02d836f65ab61ca890506eac7a9acbdbf427bf3"/>
    <w:p>
      <w:pPr>
        <w:pStyle w:val="Heading2"/>
      </w:pPr>
      <w:r>
        <w:t xml:space="preserve">Future Outlook: 2025 San Francisco Academic Strategy</w:t>
      </w:r>
    </w:p>
    <w:p>
      <w:pPr>
        <w:pStyle w:val="FirstParagraph"/>
      </w:pPr>
      <w:r>
        <w:t xml:space="preserve">Based on Q3 learnings, we will expand our focus on the following initiatives for the</w:t>
      </w:r>
      <w:r>
        <w:t xml:space="preserve"> </w:t>
      </w:r>
      <w:r>
        <w:rPr>
          <w:bCs/>
          <w:b/>
        </w:rPr>
        <w:t xml:space="preserve">Academic Researcher</w:t>
      </w:r>
      <w:r>
        <w:t xml:space="preserve"> </w:t>
      </w:r>
      <w:r>
        <w:t xml:space="preserve">segment in the</w:t>
      </w:r>
      <w:r>
        <w:t xml:space="preserve"> </w:t>
      </w:r>
      <w:r>
        <w:rPr>
          <w:bCs/>
          <w:b/>
        </w:rPr>
        <w:t xml:space="preserve">United States San Francisco</w:t>
      </w:r>
      <w:r>
        <w:t xml:space="preserve">:</w:t>
      </w:r>
    </w:p>
    <w:p>
      <w:pPr>
        <w:numPr>
          <w:ilvl w:val="0"/>
          <w:numId w:val="1005"/>
        </w:numPr>
        <w:pStyle w:val="Compact"/>
      </w:pPr>
      <w:r>
        <w:rPr>
          <w:iCs/>
          <w:i/>
        </w:rPr>
        <w:t xml:space="preserve">SF Research Innovation Summit:</w:t>
      </w:r>
      <w:r>
        <w:t xml:space="preserve"> </w:t>
      </w:r>
      <w:r>
        <w:t xml:space="preserve">Hosting an annual event at Moscone Center featuring keynote speakers from Stanford and UCSF, targeting 250+ researchers.</w:t>
      </w:r>
    </w:p>
    <w:p>
      <w:pPr>
        <w:numPr>
          <w:ilvl w:val="0"/>
          <w:numId w:val="1005"/>
        </w:numPr>
        <w:pStyle w:val="Compact"/>
      </w:pPr>
      <w:r>
        <w:rPr>
          <w:iCs/>
          <w:i/>
        </w:rPr>
        <w:t xml:space="preserve">AI-Powered Grant Assistant:</w:t>
      </w:r>
      <w:r>
        <w:t xml:space="preserve"> </w:t>
      </w:r>
      <w:r>
        <w:t xml:space="preserve">Developing a tool specifically for grant applications using San Francisco research funding databases (launch Q2 2025).</w:t>
      </w:r>
    </w:p>
    <w:p>
      <w:pPr>
        <w:numPr>
          <w:ilvl w:val="0"/>
          <w:numId w:val="1005"/>
        </w:numPr>
        <w:pStyle w:val="Compact"/>
      </w:pPr>
      <w:r>
        <w:rPr>
          <w:iCs/>
          <w:i/>
        </w:rPr>
        <w:t xml:space="preserve">Sustainability Integration:</w:t>
      </w:r>
      <w:r>
        <w:t xml:space="preserve"> </w:t>
      </w:r>
      <w:r>
        <w:t xml:space="preserve">Adding carbon footprint tracking to our platform to align with UCSF’s net-zero goals by 2030.</w:t>
      </w:r>
    </w:p>
    <w:bookmarkEnd w:id="28"/>
    <w:bookmarkStart w:id="29" w:name="conclusion"/>
    <w:p>
      <w:pPr>
        <w:pStyle w:val="Heading2"/>
      </w:pPr>
      <w:r>
        <w:t xml:space="preserve">Conclusion</w:t>
      </w:r>
    </w:p>
    <w:p>
      <w:pPr>
        <w:pStyle w:val="FirstParagraph"/>
      </w:pPr>
      <w:r>
        <w:t xml:space="preserve">The San Francisco academic market represents a strategic priority where our tailored sales approach has demonstrated exceptional traction. By embedding ourselves within the region’s research ecosystem through local partnerships, contextualized solutions, and deep understanding of</w:t>
      </w:r>
      <w:r>
        <w:t xml:space="preserve"> </w:t>
      </w:r>
      <w:r>
        <w:rPr>
          <w:bCs/>
          <w:b/>
        </w:rPr>
        <w:t xml:space="preserve">Academic Researcher</w:t>
      </w:r>
      <w:r>
        <w:t xml:space="preserve"> </w:t>
      </w:r>
      <w:r>
        <w:t xml:space="preserve">workflows, we’ve achieved significant revenue growth while building long-term institutional relationships. The success in</w:t>
      </w:r>
      <w:r>
        <w:t xml:space="preserve"> </w:t>
      </w:r>
      <w:r>
        <w:rPr>
          <w:bCs/>
          <w:b/>
        </w:rPr>
        <w:t xml:space="preserve">United States San Francisco</w:t>
      </w:r>
      <w:r>
        <w:t xml:space="preserve"> </w:t>
      </w:r>
      <w:r>
        <w:t xml:space="preserve">validates our model for academic sector sales: it’s not about selling products, but enabling research outcomes within a community-driven innovation landscape. As the Bay Area continues to lead global academic discovery, our sales strategy remains committed to being the trusted partner that accelerates scientific progress from San Francisco to the world.</w:t>
      </w:r>
    </w:p>
    <w:p>
      <w:pPr>
        <w:pStyle w:val="BodyText"/>
      </w:pPr>
      <w:r>
        <w:rPr>
          <w:bCs/>
          <w:b/>
        </w:rPr>
        <w:t xml:space="preserve">Report Prepared For:</w:t>
      </w:r>
      <w:r>
        <w:t xml:space="preserve"> </w:t>
      </w:r>
      <w:r>
        <w:t xml:space="preserve">Executive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Sales Strategy Division, West Coast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United States San Francisco Market</dc:title>
  <dc:creator/>
  <dc:language>en</dc:language>
  <cp:keywords/>
  <dcterms:created xsi:type="dcterms:W3CDTF">2026-07-24T10:18:00Z</dcterms:created>
  <dcterms:modified xsi:type="dcterms:W3CDTF">2026-07-24T10:18:00Z</dcterms:modified>
</cp:coreProperties>
</file>

<file path=docProps/custom.xml><?xml version="1.0" encoding="utf-8"?>
<Properties xmlns="http://schemas.openxmlformats.org/officeDocument/2006/custom-properties" xmlns:vt="http://schemas.openxmlformats.org/officeDocument/2006/docPropsVTypes"/>
</file>