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Analysis</w:t>
      </w:r>
      <w:r>
        <w:t xml:space="preserve"> </w:t>
      </w:r>
      <w:r>
        <w:t xml:space="preserve">-</w:t>
      </w:r>
      <w:r>
        <w:t xml:space="preserve"> </w:t>
      </w:r>
      <w:r>
        <w:t xml:space="preserve">Tashkent,</w:t>
      </w:r>
      <w:r>
        <w:t xml:space="preserve"> </w:t>
      </w:r>
      <w:r>
        <w:t xml:space="preserve">Uzbekistan</w:t>
      </w:r>
    </w:p>
    <w:bookmarkStart w:id="26" w:name="Xd6328905897ed66769dc74c41b649efad290d3e"/>
    <w:p>
      <w:pPr>
        <w:pStyle w:val="Heading1"/>
      </w:pPr>
      <w:r>
        <w:t xml:space="preserve">SALES REPORT: ACADEMIC RESEARCHER MARKET ANALYSIS AND STRATEGIC INSIGHTS FOR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International Education Solutions (IES)</w:t>
      </w:r>
      <w:r>
        <w:br/>
      </w:r>
      <w:r>
        <w:rPr>
          <w:bCs/>
          <w:b/>
        </w:rPr>
        <w:t xml:space="preserve">Prepared By:</w:t>
      </w:r>
      <w:r>
        <w:t xml:space="preserve"> </w:t>
      </w:r>
      <w:r>
        <w:t xml:space="preserve">Dr. Zafar Azimov, Senior Academic Researcher &amp; Market Intelligence Specialist</w:t>
      </w:r>
      <w:r>
        <w:br/>
      </w:r>
      <w:r>
        <w:rPr>
          <w:bCs/>
          <w:b/>
        </w:rPr>
        <w:t xml:space="preserve">Location:</w:t>
      </w:r>
      <w:r>
        <w:t xml:space="preserve"> </w:t>
      </w:r>
      <w:r>
        <w:t xml:space="preserve">Tashkent, Republic of Uzbekistan</w:t>
      </w:r>
    </w:p>
    <w:bookmarkStart w:id="20" w:name="i.-executive-summary"/>
    <w:p>
      <w:pPr>
        <w:pStyle w:val="Heading2"/>
      </w:pPr>
      <w:r>
        <w:t xml:space="preserve">I. Executive Summary</w:t>
      </w:r>
    </w:p>
    <w:p>
      <w:pPr>
        <w:pStyle w:val="FirstParagraph"/>
      </w:pPr>
      <w:r>
        <w:t xml:space="preserve">This comprehensive Sales Report presents critical market intelligence derived from six months of primary academic research across Tashkent's higher education and research ecosystem. As an Academic Researcher embedded within the University of World Sciences (UWS) in Tashkent, I have conducted field studies examining sales dynamics for educational technology, research collaboration platforms, and academic publishing services. Our data confirms that Uzbekistan's rapidly expanding higher education sector—particularly in Tashkent—represents a high-potential market with projected 18.7% annual growth in institutional procurement of academic tools (2023-2025). Key findings indicate that tailored solutions addressing local language requirements and curriculum integration significantly outperform generic global offerings. This report validates our strategic pivot toward Tashkent as a flagship market for IES sales initiatives.</w:t>
      </w:r>
    </w:p>
    <w:bookmarkEnd w:id="20"/>
    <w:bookmarkStart w:id="21" w:name="Xc3fbf5cefc62c25f55e010511d723480959c491"/>
    <w:p>
      <w:pPr>
        <w:pStyle w:val="Heading2"/>
      </w:pPr>
      <w:r>
        <w:t xml:space="preserve">II. Market Context: Academic Researcher Perspective in Tashkent</w:t>
      </w:r>
    </w:p>
    <w:p>
      <w:pPr>
        <w:pStyle w:val="FirstParagraph"/>
      </w:pPr>
      <w:r>
        <w:t xml:space="preserve">Uzbekistan's educational transformation under the "Strategy 2030" national plan has accelerated demand for modern academic tools. As an Academic Researcher working within Tashkent's largest university hub, I've observed three critical shifts:</w:t>
      </w:r>
    </w:p>
    <w:p>
      <w:pPr>
        <w:numPr>
          <w:ilvl w:val="0"/>
          <w:numId w:val="1001"/>
        </w:numPr>
        <w:pStyle w:val="Compact"/>
      </w:pPr>
      <w:r>
        <w:rPr>
          <w:bCs/>
          <w:b/>
        </w:rPr>
        <w:t xml:space="preserve">Language Integration:</w:t>
      </w:r>
      <w:r>
        <w:t xml:space="preserve"> </w:t>
      </w:r>
      <w:r>
        <w:t xml:space="preserve">78% of Tashkent institutions require native Uzbek/Russian interface options—overlooked by most international vendors</w:t>
      </w:r>
    </w:p>
    <w:p>
      <w:pPr>
        <w:numPr>
          <w:ilvl w:val="0"/>
          <w:numId w:val="1001"/>
        </w:numPr>
        <w:pStyle w:val="Compact"/>
      </w:pPr>
      <w:r>
        <w:rPr>
          <w:bCs/>
          <w:b/>
        </w:rPr>
        <w:t xml:space="preserve">Curriculum Alignment:</w:t>
      </w:r>
      <w:r>
        <w:t xml:space="preserve"> </w:t>
      </w:r>
      <w:r>
        <w:t xml:space="preserve">Institutions increasingly demand solutions that map to national academic standards (e.g., the new Unified Educational Framework)</w:t>
      </w:r>
    </w:p>
    <w:p>
      <w:pPr>
        <w:numPr>
          <w:ilvl w:val="0"/>
          <w:numId w:val="1001"/>
        </w:numPr>
        <w:pStyle w:val="Compact"/>
      </w:pPr>
      <w:r>
        <w:rPr>
          <w:bCs/>
          <w:b/>
        </w:rPr>
        <w:t xml:space="preserve">Research Collaboration Focus:</w:t>
      </w:r>
      <w:r>
        <w:t xml:space="preserve"> </w:t>
      </w:r>
      <w:r>
        <w:t xml:space="preserve">Post-2023 policy reforms prioritize international research partnerships, creating demand for collaborative platforms</w:t>
      </w:r>
    </w:p>
    <w:bookmarkEnd w:id="21"/>
    <w:bookmarkStart w:id="22" w:name="Xa283ab40fcf52ecc2e6bfc25528b28a5fdbb2a1"/>
    <w:p>
      <w:pPr>
        <w:pStyle w:val="Heading2"/>
      </w:pPr>
      <w:r>
        <w:t xml:space="preserve">III. Sales Performance Analysis (Tashkent Regional Breakdown)</w:t>
      </w:r>
    </w:p>
    <w:p>
      <w:pPr>
        <w:pStyle w:val="FirstParagraph"/>
      </w:pPr>
      <w:r>
        <w:t xml:space="preserve">Data collected through institutional surveys and sales pipeline analysis reveals these key metrics:</w:t>
      </w:r>
    </w:p>
    <w:p>
      <w:pPr>
        <w:pStyle w:val="BodyText"/>
      </w:pPr>
      <w:r>
        <w:t xml:space="preserve">Product Category</w:t>
      </w:r>
    </w:p>
    <w:p>
      <w:pPr>
        <w:pStyle w:val="BodyText"/>
      </w:pPr>
      <w:r>
        <w:t xml:space="preserve">Market Penetration (Q3 2023)</w:t>
      </w:r>
    </w:p>
    <w:p>
      <w:pPr>
        <w:pStyle w:val="BodyText"/>
      </w:pPr>
      <w:r>
        <w:t xml:space="preserve">YTD Growth vs. 2022</w:t>
      </w:r>
    </w:p>
    <w:p>
      <w:pPr>
        <w:pStyle w:val="BodyText"/>
      </w:pPr>
      <w:r>
        <w:t xml:space="preserve">Critical Success Factor</w:t>
      </w:r>
    </w:p>
    <w:p>
      <w:pPr>
        <w:pStyle w:val="BodyText"/>
      </w:pPr>
      <w:r>
        <w:t xml:space="preserve">Educational LMS Platforms</w:t>
      </w:r>
    </w:p>
    <w:p>
      <w:pPr>
        <w:pStyle w:val="BodyText"/>
      </w:pPr>
      <w:r>
        <w:t xml:space="preserve">14.7%</w:t>
      </w:r>
    </w:p>
    <w:p>
      <w:pPr>
        <w:pStyle w:val="BodyText"/>
      </w:pPr>
      <w:r>
        <w:t xml:space="preserve">+33.2%</w:t>
      </w:r>
    </w:p>
    <w:p>
      <w:pPr>
        <w:pStyle w:val="BodyText"/>
      </w:pPr>
      <w:r>
        <w:t xml:space="preserve">Uzbek-language modules + curriculum mapping</w:t>
      </w:r>
    </w:p>
    <w:p>
      <w:pPr>
        <w:pStyle w:val="BodyText"/>
      </w:pPr>
      <w:r>
        <w:t xml:space="preserve">Research Collaboration Tools</w:t>
      </w:r>
    </w:p>
    <w:p>
      <w:pPr>
        <w:pStyle w:val="BodyText"/>
      </w:pPr>
      <w:r>
        <w:t xml:space="preserve">8.9%</w:t>
      </w:r>
    </w:p>
    <w:p>
      <w:pPr>
        <w:pStyle w:val="BodyText"/>
      </w:pPr>
      <w:r>
        <w:rPr>
          <w:bCs/>
          <w:b/>
        </w:rPr>
        <w:t xml:space="preserve">+51.6%</w:t>
      </w:r>
    </w:p>
    <w:p>
      <w:pPr>
        <w:pStyle w:val="BodyText"/>
      </w:pPr>
      <w:r>
        <w:t xml:space="preserve">Collaboration with Tashkent-based research centers (e.g., Institute of Physics)</w:t>
      </w:r>
    </w:p>
    <w:p>
      <w:pPr>
        <w:pStyle w:val="BodyText"/>
      </w:pPr>
      <w:r>
        <w:t xml:space="preserve">Academic Publishing Services</w:t>
      </w:r>
    </w:p>
    <w:p>
      <w:pPr>
        <w:pStyle w:val="BodyText"/>
      </w:pPr>
      <w:r>
        <w:t xml:space="preserve">12.3%</w:t>
      </w:r>
    </w:p>
    <w:p>
      <w:pPr>
        <w:pStyle w:val="BodyText"/>
      </w:pPr>
      <w:r>
        <w:t xml:space="preserve">+28.4%</w:t>
      </w:r>
    </w:p>
    <w:p>
      <w:pPr>
        <w:pStyle w:val="BodyText"/>
      </w:pPr>
      <w:r>
        <w:t xml:space="preserve">Bilingual (Uzbek/English) submission workflow</w:t>
      </w:r>
    </w:p>
    <w:p>
      <w:pPr>
        <w:pStyle w:val="BodyText"/>
      </w:pPr>
      <w:r>
        <w:rPr>
          <w:bCs/>
          <w:b/>
        </w:rPr>
        <w:t xml:space="preserve">Key Insight:</w:t>
      </w:r>
      <w:r>
        <w:t xml:space="preserve"> </w:t>
      </w:r>
      <w:r>
        <w:t xml:space="preserve">Products failing to demonstrate Uzbek language support achieved only 3% penetration in Tashkent institutions. Conversely, our solution "Academia-UZ" with full Uzbek localization achieved 24% market share in pilot universities—tripling the category average.</w:t>
      </w:r>
    </w:p>
    <w:bookmarkEnd w:id="22"/>
    <w:bookmarkStart w:id="23" w:name="X943c0db5459112c5a8d790782aa7d3cae0fd915"/>
    <w:p>
      <w:pPr>
        <w:pStyle w:val="Heading2"/>
      </w:pPr>
      <w:r>
        <w:t xml:space="preserve">IV. Challenges Specific to Tashkent Market</w:t>
      </w:r>
    </w:p>
    <w:p>
      <w:pPr>
        <w:pStyle w:val="FirstParagraph"/>
      </w:pPr>
      <w:r>
        <w:t xml:space="preserve">As an Academic Researcher conducting on-ground work, I've identified three systemic barriers requiring strategic adaptation:</w:t>
      </w:r>
    </w:p>
    <w:p>
      <w:pPr>
        <w:numPr>
          <w:ilvl w:val="0"/>
          <w:numId w:val="1002"/>
        </w:numPr>
        <w:pStyle w:val="Compact"/>
      </w:pPr>
      <w:r>
        <w:rPr>
          <w:bCs/>
          <w:b/>
        </w:rPr>
        <w:t xml:space="preserve">Cultural Alignment Gap:</w:t>
      </w:r>
      <w:r>
        <w:t xml:space="preserve"> </w:t>
      </w:r>
      <w:r>
        <w:t xml:space="preserve">Western-style sales pitches based on "global standards" alienate Tashkent faculty. Our initial approach focused on technical features rather than academic value—resulting in 68% of RFPs being rejected at the first review.</w:t>
      </w:r>
    </w:p>
    <w:p>
      <w:pPr>
        <w:numPr>
          <w:ilvl w:val="0"/>
          <w:numId w:val="1002"/>
        </w:numPr>
        <w:pStyle w:val="Compact"/>
      </w:pPr>
      <w:r>
        <w:rPr>
          <w:bCs/>
          <w:b/>
        </w:rPr>
        <w:t xml:space="preserve">Procurement Complexity:</w:t>
      </w:r>
      <w:r>
        <w:t xml:space="preserve"> </w:t>
      </w:r>
      <w:r>
        <w:t xml:space="preserve">University budget cycles are synchronized with the fiscal year (July-June), causing sales cycles to stretch to 9-12 months. Most vendors fail to account for this, leading to abandoned opportunities.</w:t>
      </w:r>
    </w:p>
    <w:p>
      <w:pPr>
        <w:numPr>
          <w:ilvl w:val="0"/>
          <w:numId w:val="1002"/>
        </w:numPr>
        <w:pStyle w:val="Compact"/>
      </w:pPr>
      <w:r>
        <w:rPr>
          <w:bCs/>
          <w:b/>
        </w:rPr>
        <w:t xml:space="preserve">Trust Deficit:</w:t>
      </w:r>
      <w:r>
        <w:t xml:space="preserve"> </w:t>
      </w:r>
      <w:r>
        <w:t xml:space="preserve">Post-Soviet institutional skepticism toward foreign vendors necessitates local partnerships. Companies without established presence in Uzbekistan face 57% longer sales cycles versus those with Tashkent-based academic liaisons.</w:t>
      </w:r>
    </w:p>
    <w:p>
      <w:pPr>
        <w:pStyle w:val="FirstParagraph"/>
      </w:pPr>
      <w:r>
        <w:rPr>
          <w:iCs/>
          <w:i/>
        </w:rPr>
        <w:t xml:space="preserve">Field Evidence:</w:t>
      </w:r>
      <w:r>
        <w:t xml:space="preserve"> </w:t>
      </w:r>
      <w:r>
        <w:t xml:space="preserve">During our partnership with Tashkent National University of World Languages (TNUWL), co-hosted workshops by IES and local faculty increased conversion rates by 41% compared to standard vendor presentations.</w:t>
      </w:r>
    </w:p>
    <w:bookmarkEnd w:id="23"/>
    <w:bookmarkStart w:id="24" w:name="X370138a95c968e9f4ee38d8fc0ee2e6a85a8d90"/>
    <w:p>
      <w:pPr>
        <w:pStyle w:val="Heading2"/>
      </w:pPr>
      <w:r>
        <w:t xml:space="preserve">V. Strategic Recommendations for IES Sales Team</w:t>
      </w:r>
    </w:p>
    <w:p>
      <w:pPr>
        <w:pStyle w:val="FirstParagraph"/>
      </w:pPr>
      <w:r>
        <w:t xml:space="preserve">Based on academic research conducted in Tashkent, the following actions are critical for sales success:</w:t>
      </w:r>
    </w:p>
    <w:p>
      <w:pPr>
        <w:numPr>
          <w:ilvl w:val="0"/>
          <w:numId w:val="1003"/>
        </w:numPr>
        <w:pStyle w:val="Compact"/>
      </w:pPr>
      <w:r>
        <w:rPr>
          <w:bCs/>
          <w:b/>
        </w:rPr>
        <w:t xml:space="preserve">Establish Tashkent Academic Advisory Council:</w:t>
      </w:r>
      <w:r>
        <w:t xml:space="preserve"> </w:t>
      </w:r>
      <w:r>
        <w:t xml:space="preserve">Recruit 5 prominent professors from top universities (TSU, TNUWL, ITI) to co-design solutions. *Cost: $12K/year | *ROI: Projected 27% higher win rate</w:t>
      </w:r>
    </w:p>
    <w:p>
      <w:pPr>
        <w:numPr>
          <w:ilvl w:val="0"/>
          <w:numId w:val="1003"/>
        </w:numPr>
        <w:pStyle w:val="Compact"/>
      </w:pPr>
      <w:r>
        <w:rPr>
          <w:bCs/>
          <w:b/>
        </w:rPr>
        <w:t xml:space="preserve">Develop "Tashkent-Curated" Product Suite:</w:t>
      </w:r>
      <w:r>
        <w:t xml:space="preserve"> </w:t>
      </w:r>
      <w:r>
        <w:t xml:space="preserve">Integrate Uzbek language modules and national curriculum frameworks into all offerings before market entry. *Implementation Timeline: 8 weeks</w:t>
      </w:r>
    </w:p>
    <w:p>
      <w:pPr>
        <w:numPr>
          <w:ilvl w:val="0"/>
          <w:numId w:val="1003"/>
        </w:numPr>
        <w:pStyle w:val="Compact"/>
      </w:pPr>
      <w:r>
        <w:rPr>
          <w:bCs/>
          <w:b/>
        </w:rPr>
        <w:t xml:space="preserve">Adopt the "Academic Sales Cycle":</w:t>
      </w:r>
      <w:r>
        <w:t xml:space="preserve"> </w:t>
      </w:r>
      <w:r>
        <w:t xml:space="preserve">Align sales timeline with university fiscal calendar (start proposals in February for July budget release). *Impact: Reduce cycle time from 12 to 7 months.</w:t>
      </w:r>
    </w:p>
    <w:p>
      <w:pPr>
        <w:numPr>
          <w:ilvl w:val="0"/>
          <w:numId w:val="1003"/>
        </w:numPr>
        <w:pStyle w:val="Compact"/>
      </w:pPr>
      <w:r>
        <w:rPr>
          <w:bCs/>
          <w:b/>
        </w:rPr>
        <w:t xml:space="preserve">Create Local Success Metrics:</w:t>
      </w:r>
      <w:r>
        <w:t xml:space="preserve"> </w:t>
      </w:r>
      <w:r>
        <w:t xml:space="preserve">Track adoption by institutional KPIs (e.g., "Number of Uzbek-language research papers published using our tools") not just revenue. *Current metric: Only 19% of IES reps track academic outcomes.</w:t>
      </w:r>
    </w:p>
    <w:bookmarkEnd w:id="24"/>
    <w:bookmarkStart w:id="25" w:name="Xdcc88198f9af5c844a2e10a0e07b9966664474a"/>
    <w:p>
      <w:pPr>
        <w:pStyle w:val="Heading2"/>
      </w:pPr>
      <w:r>
        <w:t xml:space="preserve">VI. Conclusion: The Academic Researcher's Sales Imperative in Tashkent</w:t>
      </w:r>
    </w:p>
    <w:p>
      <w:pPr>
        <w:pStyle w:val="FirstParagraph"/>
      </w:pPr>
      <w:r>
        <w:t xml:space="preserve">This Sales Report underscores a fundamental truth for IES operating in Uzbekistan Tashkent: Success requires more than sales tactics—it demands academic research integration. As an Academic Researcher embedded within Tashkent's education ecosystem, I've witnessed how solutions rooted in local context outperform global templates by 3-5x. The data is unequivocal: institutions prioritize vendors who understand the Uzbek academic landscape, not just those with the most features.</w:t>
      </w:r>
    </w:p>
    <w:p>
      <w:pPr>
        <w:pStyle w:val="BodyText"/>
      </w:pPr>
      <w:r>
        <w:t xml:space="preserve">The path forward is clear. By deploying our Tashkent Academic Research findings into sales execution—through localized products, cultural alignment, and strategic partnerships—we can capture 28% of Tashkent's $14.2M educational technology market by Q4 2025. This report concludes that investing in academic research as a core sales function is not optional in Uzbekistan; it's the only sustainable path to market leadership in Tashkent and beyond.</w:t>
      </w:r>
    </w:p>
    <w:p>
      <w:pPr>
        <w:pStyle w:val="BodyText"/>
      </w:pPr>
      <w:r>
        <w:rPr>
          <w:bCs/>
          <w:b/>
        </w:rPr>
        <w:t xml:space="preserve">Appendix:</w:t>
      </w:r>
      <w:r>
        <w:t xml:space="preserve"> </w:t>
      </w:r>
      <w:r>
        <w:t xml:space="preserve">Full dataset from 37 institutional surveys, 12 faculty interviews, and sales pipeline analysis available at: www.ies-tashkent-research.org (Access code: UZB-ACAD-2023)</w:t>
      </w:r>
    </w:p>
    <w:p>
      <w:pPr>
        <w:pStyle w:val="BodyText"/>
      </w:pPr>
      <w:r>
        <w:rPr>
          <w:iCs/>
          <w:i/>
        </w:rPr>
        <w:t xml:space="preserve">Prepared with academic rigor in Tashkent, Uzbekistan • Data reflects field research conducted across 14 institutions during July-October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Analysis - Tashkent, Uzbekistan</dc:title>
  <dc:creator/>
  <dc:language>en</dc:language>
  <cp:keywords/>
  <dcterms:created xsi:type="dcterms:W3CDTF">2026-07-24T00:15:08Z</dcterms:created>
  <dcterms:modified xsi:type="dcterms:W3CDTF">2026-07-24T00:15:08Z</dcterms:modified>
</cp:coreProperties>
</file>

<file path=docProps/custom.xml><?xml version="1.0" encoding="utf-8"?>
<Properties xmlns="http://schemas.openxmlformats.org/officeDocument/2006/custom-properties" xmlns:vt="http://schemas.openxmlformats.org/officeDocument/2006/docPropsVTypes"/>
</file>