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30" w:name="X8c16e6a796982fbd4b422a09e1006a0ec337409"/>
    <w:p>
      <w:pPr>
        <w:pStyle w:val="Heading1"/>
      </w:pPr>
      <w:r>
        <w:t xml:space="preserve">Quarterly Sales Report: Academic Researcher Performance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Council for Scientific and Technological Development (CONICIT), Venezuela</w:t>
      </w:r>
      <w:r>
        <w:br/>
      </w:r>
      <w:r>
        <w:rPr>
          <w:bCs/>
          <w:b/>
        </w:rPr>
        <w:t xml:space="preserve">Prepared By:</w:t>
      </w:r>
      <w:r>
        <w:t xml:space="preserve"> </w:t>
      </w:r>
      <w:r>
        <w:t xml:space="preserve">Research Sales &amp; Strategy Department, Caracas Branch</w:t>
      </w:r>
    </w:p>
    <w:bookmarkStart w:id="20" w:name="i.-executive-summary"/>
    <w:p>
      <w:pPr>
        <w:pStyle w:val="Heading2"/>
      </w:pPr>
      <w:r>
        <w:t xml:space="preserve">I. Executive Summary</w:t>
      </w:r>
    </w:p>
    <w:p>
      <w:pPr>
        <w:pStyle w:val="FirstParagraph"/>
      </w:pPr>
      <w:r>
        <w:t xml:space="preserve">This Sales Report details the performance of our Academic Researcher portfolio within Venezuela Caracas during Q3 2023. Despite severe economic constraints affecting research infrastructure nationwide, our team has secured unprecedented funding through strategic proposals tailored to Venezuela Caracas' unique academic and socioeconomic landscape. The report highlights a 34% year-over-year increase in research project sales, with particular success in health sciences and sustainable agriculture—critical sectors for Caracas' urban resilience. This achievement underscores the growing recognition of Academic Researcher value in addressing Venezuela's pressing challenges.</w:t>
      </w:r>
    </w:p>
    <w:bookmarkEnd w:id="20"/>
    <w:bookmarkStart w:id="21" w:name="X32907307e64fbcdfc76e728245b4ebc373a9428"/>
    <w:p>
      <w:pPr>
        <w:pStyle w:val="Heading2"/>
      </w:pPr>
      <w:r>
        <w:t xml:space="preserve">II. Market Context: Venezuela Caracas Research Landscape</w:t>
      </w:r>
    </w:p>
    <w:p>
      <w:pPr>
        <w:pStyle w:val="FirstParagraph"/>
      </w:pPr>
      <w:r>
        <w:t xml:space="preserve">The academic research ecosystem in Venezuela Caracas operates under extraordinary conditions. Hyperinflation, supply chain disruptions, and reduced state funding have created a "market" where traditional research models are unsustainable. However, this environment has intensified demand for agile Academic Researcher solutions that deliver immediate community impact. In Caracas specifically, the concentration of universities (including Central University of Venezuela and Simón Bolívar University) creates a high-density market for research services—but with unique barriers: limited lab equipment access, unreliable electricity, and brain drain requiring innovative retention strategies.</w:t>
      </w:r>
    </w:p>
    <w:p>
      <w:pPr>
        <w:pStyle w:val="BodyText"/>
      </w:pPr>
      <w:r>
        <w:t xml:space="preserve">Our Sales Strategy has pivoted from generic proposals to context-specific solutions. For example, we now develop "Caracas Resilience Packages" bundling field studies with community training—directly addressing the city's need for localized knowledge transfer. This approach has differentiated our Academic Researcher offerings in a crowded market where most competitors fail to account for Venezuela Caracas' urban realities.</w:t>
      </w:r>
    </w:p>
    <w:bookmarkEnd w:id="21"/>
    <w:bookmarkStart w:id="23" w:name="iii.-sales-performance-breakdown"/>
    <w:p>
      <w:pPr>
        <w:pStyle w:val="Heading2"/>
      </w:pPr>
      <w:r>
        <w:t xml:space="preserve">III. Sales Performance Breakdown</w:t>
      </w:r>
    </w:p>
    <w:bookmarkStart w:id="22" w:name="project-revenue-by-sector-q3-2023"/>
    <w:p>
      <w:pPr>
        <w:pStyle w:val="Heading3"/>
      </w:pPr>
      <w:r>
        <w:t xml:space="preserve">Project Revenue by Sector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Funding Secured (USD)</w:t>
            </w:r>
          </w:p>
        </w:tc>
        <w:tc>
          <w:tcPr/>
          <w:p>
            <w:pPr>
              <w:pStyle w:val="Compact"/>
              <w:jc w:val="left"/>
            </w:pPr>
            <w:r>
              <w:t xml:space="preserve">YoY Growth</w:t>
            </w:r>
          </w:p>
        </w:tc>
        <w:tc>
          <w:tcPr/>
          <w:p>
            <w:pPr>
              <w:pStyle w:val="Compact"/>
              <w:jc w:val="left"/>
            </w:pPr>
            <w:r>
              <w:t xml:space="preserve">Key Caracas-Based Projects</w:t>
            </w:r>
          </w:p>
        </w:tc>
      </w:tr>
      <w:tr>
        <w:tc>
          <w:tcPr/>
          <w:p>
            <w:pPr>
              <w:pStyle w:val="Compact"/>
              <w:jc w:val="left"/>
            </w:pPr>
            <w:r>
              <w:t xml:space="preserve">Public Health &amp; Pandemic Response</w:t>
            </w:r>
          </w:p>
        </w:tc>
        <w:tc>
          <w:tcPr/>
          <w:p>
            <w:pPr>
              <w:pStyle w:val="Compact"/>
              <w:jc w:val="left"/>
            </w:pPr>
            <w:r>
              <w:t xml:space="preserve">$215,000</w:t>
            </w:r>
          </w:p>
        </w:tc>
        <w:tc>
          <w:tcPr/>
          <w:p>
            <w:pPr>
              <w:pStyle w:val="Compact"/>
              <w:jc w:val="left"/>
            </w:pPr>
            <w:r>
              <w:t xml:space="preserve">+42%</w:t>
            </w:r>
          </w:p>
        </w:tc>
        <w:tc>
          <w:tcPr/>
          <w:p>
            <w:pPr>
              <w:pStyle w:val="Compact"/>
              <w:jc w:val="left"/>
            </w:pPr>
            <w:r>
              <w:t xml:space="preserve">Venezuelan Urban Malaria Surveillance Network (Caracas Central)</w:t>
            </w:r>
          </w:p>
        </w:tc>
      </w:tr>
      <w:tr>
        <w:tc>
          <w:tcPr/>
          <w:p>
            <w:pPr>
              <w:pStyle w:val="Compact"/>
              <w:jc w:val="left"/>
            </w:pPr>
            <w:r>
              <w:t xml:space="preserve">Sustainable Agriculture for Urban Farms</w:t>
            </w:r>
          </w:p>
        </w:tc>
        <w:tc>
          <w:tcPr/>
          <w:p>
            <w:pPr>
              <w:pStyle w:val="Compact"/>
              <w:jc w:val="left"/>
            </w:pPr>
            <w:r>
              <w:t xml:space="preserve">$187,000</w:t>
            </w:r>
          </w:p>
        </w:tc>
        <w:tc>
          <w:tcPr/>
          <w:p>
            <w:pPr>
              <w:pStyle w:val="Compact"/>
              <w:jc w:val="left"/>
            </w:pPr>
            <w:r>
              <w:t xml:space="preserve">+38%</w:t>
            </w:r>
          </w:p>
        </w:tc>
        <w:tc>
          <w:tcPr/>
          <w:p>
            <w:pPr>
              <w:pStyle w:val="Compact"/>
              <w:jc w:val="left"/>
            </w:pPr>
            <w:r>
              <w:t xml:space="preserve">Caracas Rooftop Farming Initiative (Collaboration with Municipalities)</w:t>
            </w:r>
          </w:p>
        </w:tc>
      </w:tr>
      <w:tr>
        <w:tc>
          <w:tcPr/>
          <w:p>
            <w:pPr>
              <w:pStyle w:val="Compact"/>
              <w:jc w:val="left"/>
            </w:pPr>
            <w:r>
              <w:t xml:space="preserve">Cultural Heritage Preservation</w:t>
            </w:r>
          </w:p>
        </w:tc>
        <w:tc>
          <w:tcPr/>
          <w:p>
            <w:pPr>
              <w:pStyle w:val="Compact"/>
              <w:jc w:val="left"/>
            </w:pPr>
            <w:r>
              <w:t xml:space="preserve">$92,500</w:t>
            </w:r>
          </w:p>
        </w:tc>
        <w:tc>
          <w:tcPr/>
          <w:p>
            <w:pPr>
              <w:pStyle w:val="Compact"/>
              <w:jc w:val="left"/>
            </w:pPr>
            <w:r>
              <w:t xml:space="preserve">+29%</w:t>
            </w:r>
          </w:p>
        </w:tc>
        <w:tc>
          <w:tcPr/>
          <w:p>
            <w:pPr>
              <w:pStyle w:val="Compact"/>
              <w:jc w:val="left"/>
            </w:pPr>
            <w:r>
              <w:t xml:space="preserve">Digitization of Colonial Architecture Archives (Museo de Caracas)</w:t>
            </w:r>
          </w:p>
        </w:tc>
      </w:tr>
    </w:tbl>
    <w:p>
      <w:pPr>
        <w:pStyle w:val="BodyText"/>
      </w:pPr>
      <w:r>
        <w:t xml:space="preserve">Notably, 76% of new funding came from non-traditional sources—private foundations and international NGOs responding to Venezuela Caracas' humanitarian context. This diversification reduces reliance on volatile state budgets and aligns with our Academic Researcher positioning as a solution provider for urgent local needs.</w:t>
      </w:r>
    </w:p>
    <w:bookmarkEnd w:id="22"/>
    <w:bookmarkEnd w:id="23"/>
    <w:bookmarkStart w:id="26" w:name="iv.-strategic-initiatives-driving-sales"/>
    <w:p>
      <w:pPr>
        <w:pStyle w:val="Heading2"/>
      </w:pPr>
      <w:r>
        <w:t xml:space="preserve">IV. Strategic Initiatives Driving Sales</w:t>
      </w:r>
    </w:p>
    <w:bookmarkStart w:id="24" w:name="a.-venezuela-centric-proposal-framework"/>
    <w:p>
      <w:pPr>
        <w:pStyle w:val="Heading3"/>
      </w:pPr>
      <w:r>
        <w:t xml:space="preserve">A. Venezuela-Centric Proposal Framework</w:t>
      </w:r>
    </w:p>
    <w:p>
      <w:pPr>
        <w:pStyle w:val="FirstParagraph"/>
      </w:pPr>
      <w:r>
        <w:t xml:space="preserve">We redesigned our sales process around Venezuela Caracas' operational realities:</w:t>
      </w:r>
    </w:p>
    <w:p>
      <w:pPr>
        <w:numPr>
          <w:ilvl w:val="0"/>
          <w:numId w:val="1001"/>
        </w:numPr>
        <w:pStyle w:val="Compact"/>
      </w:pPr>
      <w:r>
        <w:rPr>
          <w:bCs/>
          <w:b/>
        </w:rPr>
        <w:t xml:space="preserve">Resource-Adaptive Design:</w:t>
      </w:r>
      <w:r>
        <w:t xml:space="preserve"> </w:t>
      </w:r>
      <w:r>
        <w:t xml:space="preserve">All proposals include tiered resource plans (e.g., "minimum viable fieldwork" using locally available materials).</w:t>
      </w:r>
    </w:p>
    <w:p>
      <w:pPr>
        <w:numPr>
          <w:ilvl w:val="0"/>
          <w:numId w:val="1001"/>
        </w:numPr>
        <w:pStyle w:val="Compact"/>
      </w:pPr>
      <w:r>
        <w:rPr>
          <w:bCs/>
          <w:b/>
        </w:rPr>
        <w:t xml:space="preserve">Community Co-Creation:</w:t>
      </w:r>
      <w:r>
        <w:t xml:space="preserve"> </w:t>
      </w:r>
      <w:r>
        <w:t xml:space="preserve">Partnering with Caracas neighborhood councils to co-develop research questions—increasing proposal relevance by 68%.</w:t>
      </w:r>
    </w:p>
    <w:p>
      <w:pPr>
        <w:numPr>
          <w:ilvl w:val="0"/>
          <w:numId w:val="1001"/>
        </w:numPr>
        <w:pStyle w:val="Compact"/>
      </w:pPr>
      <w:r>
        <w:rPr>
          <w:bCs/>
          <w:b/>
        </w:rPr>
        <w:t xml:space="preserve">Social Impact Metrics:</w:t>
      </w:r>
      <w:r>
        <w:t xml:space="preserve"> </w:t>
      </w:r>
      <w:r>
        <w:t xml:space="preserve">Replacing purely academic KPIs with measurable community outcomes (e.g., "Number of families trained in urban farming per project").</w:t>
      </w:r>
    </w:p>
    <w:bookmarkEnd w:id="24"/>
    <w:bookmarkStart w:id="25" w:name="b.-academic-researcher-brand-positioning"/>
    <w:p>
      <w:pPr>
        <w:pStyle w:val="Heading3"/>
      </w:pPr>
      <w:r>
        <w:t xml:space="preserve">B. Academic Researcher Brand Positioning</w:t>
      </w:r>
    </w:p>
    <w:p>
      <w:pPr>
        <w:pStyle w:val="FirstParagraph"/>
      </w:pPr>
      <w:r>
        <w:t xml:space="preserve">We repositioned the Academic Researcher as a "Caracas Crisis Partner" rather than just a researcher. Sales materials emphasize:</w:t>
      </w:r>
    </w:p>
    <w:p>
      <w:pPr>
        <w:pStyle w:val="BlockText"/>
      </w:pPr>
      <w:r>
        <w:t xml:space="preserve">"Our Caracas-based Academic Researchers don't just study problems—they deploy field-tested solutions in Venezuela's most challenging urban environments."</w:t>
      </w:r>
    </w:p>
    <w:p>
      <w:pPr>
        <w:pStyle w:val="FirstParagraph"/>
      </w:pPr>
      <w:r>
        <w:t xml:space="preserve">This messaging resonated with donors prioritizing on-ground impact, leading to a 53% higher conversion rate on proposals targeting Venezuela Caracas.</w:t>
      </w:r>
    </w:p>
    <w:bookmarkEnd w:id="25"/>
    <w:bookmarkEnd w:id="26"/>
    <w:bookmarkStart w:id="27" w:name="v.-challenges-mitigation-strategies"/>
    <w:p>
      <w:pPr>
        <w:pStyle w:val="Heading2"/>
      </w:pPr>
      <w:r>
        <w:t xml:space="preserve">V. Challenges &amp; Mitigation Strategies</w:t>
      </w:r>
    </w:p>
    <w:p>
      <w:pPr>
        <w:pStyle w:val="FirstParagraph"/>
      </w:pPr>
      <w:r>
        <w:t xml:space="preserve">Challenge</w:t>
      </w:r>
    </w:p>
    <w:p>
      <w:pPr>
        <w:pStyle w:val="BodyText"/>
      </w:pPr>
      <w:r>
        <w:t xml:space="preserve">Impact on Sales</w:t>
      </w:r>
    </w:p>
    <w:p>
      <w:pPr>
        <w:pStyle w:val="BodyText"/>
      </w:pPr>
      <w:r>
        <w:t xml:space="preserve">Mitigation Strategy (Implemented in Q3)</w:t>
      </w:r>
    </w:p>
    <w:p>
      <w:pPr>
        <w:pStyle w:val="BodyText"/>
      </w:pPr>
      <w:r>
        <w:t xml:space="preserve">Equipment Shortages in Caracas Labs</w:t>
      </w:r>
    </w:p>
    <w:p>
      <w:pPr>
        <w:pStyle w:val="BodyText"/>
      </w:pPr>
      <w:r>
        <w:t xml:space="preserve">Limited proposal credibility for technical projects</w:t>
      </w:r>
    </w:p>
    <w:p>
      <w:pPr>
        <w:pStyle w:val="BodyText"/>
      </w:pPr>
      <w:r>
        <w:t xml:space="preserve">Developed "Mobile Lab Kits" using locally sourced materials; secured $120K for 5 mobile units</w:t>
      </w:r>
    </w:p>
    <w:p>
      <w:pPr>
        <w:pStyle w:val="BodyText"/>
      </w:pPr>
      <w:r>
        <w:t xml:space="preserve">High Turnover of Research Staff in Venezuela</w:t>
      </w:r>
    </w:p>
    <w:p>
      <w:pPr>
        <w:pStyle w:val="BodyText"/>
      </w:pPr>
      <w:r>
        <w:t xml:space="preserve">Lost client trust during project execution</w:t>
      </w:r>
    </w:p>
    <w:p>
      <w:pPr>
        <w:pStyle w:val="BodyText"/>
      </w:pPr>
      <w:r>
        <w:t xml:space="preserve">Limited staff to 3 core Caracas-based researchers with retention bonuses tied to project success</w:t>
      </w:r>
    </w:p>
    <w:p>
      <w:pPr>
        <w:pStyle w:val="BodyText"/>
      </w:pPr>
      <w:r>
        <w:t xml:space="preserve">Foreign Currency Access for International Grants</w:t>
      </w:r>
    </w:p>
    <w:p>
      <w:pPr>
        <w:pStyle w:val="BodyText"/>
      </w:pPr>
      <w:r>
        <w:t xml:space="preserve">Delayed payment cycles for funded projects</w:t>
      </w:r>
    </w:p>
    <w:p>
      <w:pPr>
        <w:pStyle w:val="BodyText"/>
      </w:pPr>
    </w:p>
    <w:p>
      <w:pPr>
        <w:pStyle w:val="BodyText"/>
      </w:pPr>
      <w:r>
        <w:t xml:space="preserve">Launched Venezuela Research Stabilization Fund (VRSF)</w:t>
      </w:r>
    </w:p>
    <w:p>
      <w:pPr>
        <w:pStyle w:val="BodyText"/>
      </w:pPr>
      <w:r>
        <w:br/>
      </w:r>
      <w:r>
        <w:t xml:space="preserve">(Co-funded by 3 NGOs to cover immediate costs in local currency)</w:t>
      </w:r>
    </w:p>
    <w:bookmarkEnd w:id="27"/>
    <w:bookmarkStart w:id="28" w:name="vi.-financial-outlook-recommendations"/>
    <w:p>
      <w:pPr>
        <w:pStyle w:val="Heading2"/>
      </w:pPr>
      <w:r>
        <w:t xml:space="preserve">VI. Financial Outlook &amp; Recommendations</w:t>
      </w:r>
    </w:p>
    <w:p>
      <w:pPr>
        <w:pStyle w:val="FirstParagraph"/>
      </w:pPr>
      <w:r>
        <w:t xml:space="preserve">Based on Q3 momentum, we project $850K in annual sales for Academic Researcher services in Venezuela Caracas by Q4 2023—exceeding targets by 19%. Key drivers include:</w:t>
      </w:r>
    </w:p>
    <w:p>
      <w:pPr>
        <w:numPr>
          <w:ilvl w:val="0"/>
          <w:numId w:val="1002"/>
        </w:numPr>
        <w:pStyle w:val="Compact"/>
      </w:pPr>
      <w:r>
        <w:rPr>
          <w:bCs/>
          <w:b/>
        </w:rPr>
        <w:t xml:space="preserve">Scaling Community Partnerships:</w:t>
      </w:r>
      <w:r>
        <w:t xml:space="preserve"> </w:t>
      </w:r>
      <w:r>
        <w:t xml:space="preserve">Targeting 15 new Caracas neighborhood agreements by December to expand proposal pipeline.</w:t>
      </w:r>
    </w:p>
    <w:p>
      <w:pPr>
        <w:numPr>
          <w:ilvl w:val="0"/>
          <w:numId w:val="1002"/>
        </w:numPr>
        <w:pStyle w:val="Compact"/>
      </w:pPr>
      <w:r>
        <w:rPr>
          <w:bCs/>
          <w:b/>
        </w:rPr>
        <w:t xml:space="preserve">Nationalization of Funding:</w:t>
      </w:r>
      <w:r>
        <w:t xml:space="preserve"> </w:t>
      </w:r>
      <w:r>
        <w:t xml:space="preserve">Training local NGOs to manage grants, reducing dependency on international currency fluctuations.</w:t>
      </w:r>
    </w:p>
    <w:p>
      <w:pPr>
        <w:numPr>
          <w:ilvl w:val="0"/>
          <w:numId w:val="1002"/>
        </w:numPr>
        <w:pStyle w:val="Compact"/>
      </w:pPr>
      <w:r>
        <w:rPr>
          <w:bCs/>
          <w:b/>
        </w:rPr>
        <w:t xml:space="preserve">Crisis-Response Specialization:</w:t>
      </w:r>
      <w:r>
        <w:t xml:space="preserve"> </w:t>
      </w:r>
      <w:r>
        <w:t xml:space="preserve">Creating a dedicated "Caracas Emergency Research Unit" for rapid-response funding (e.g., post-flood studies).</w:t>
      </w:r>
    </w:p>
    <w:p>
      <w:pPr>
        <w:pStyle w:val="FirstParagraph"/>
      </w:pPr>
      <w:r>
        <w:t xml:space="preserve">We recommend allocating 25% of Q4 sales revenue to build Venezuela Caracas' first community research hub—a physical space for Academic Researchers to collaborate with local leaders. This aligns with our core mission while creating a sustainable sales anchor in Caracas.</w:t>
      </w:r>
    </w:p>
    <w:bookmarkEnd w:id="28"/>
    <w:bookmarkStart w:id="29" w:name="X7490613ef245b16a5d358570df26723d5f44bcd"/>
    <w:p>
      <w:pPr>
        <w:pStyle w:val="Heading2"/>
      </w:pPr>
      <w:r>
        <w:t xml:space="preserve">VII. Conclusion: The Future of Academic Researcher Sales in Venezuela</w:t>
      </w:r>
    </w:p>
    <w:p>
      <w:pPr>
        <w:pStyle w:val="FirstParagraph"/>
      </w:pPr>
      <w:r>
        <w:t xml:space="preserve">Caracas has evolved from a research market burdened by constraints to one where Academic Researchers are increasingly viewed as indispensable crisis responders. Our success demonstrates that when research proposals are embedded in Venezuela's socioeconomic fabric—not just applied to it—the "sales" (funding) follow organically. As demonstrated in our Q3 results, the key isn't merely securing funds but building systems that make Venezuela Caracas' academic ecosystem resilient *by design*.</w:t>
      </w:r>
    </w:p>
    <w:p>
      <w:pPr>
        <w:pStyle w:val="BodyText"/>
      </w:pPr>
      <w:r>
        <w:t xml:space="preserve">For the first time since 2018, Venezuelan institutions now proactively seek out Academic Researcher partnerships for problem-solving—not just research. This shift validates our strategy: in a city where survival demands innovation, the Academic Researcher is no longer a luxury but a critical sales asset for Venezuela's future. We will continue to refine this model, ensuring every proposal we present from Caracas delivers measurable value in Venezuela's most urgent contexts.</w:t>
      </w:r>
    </w:p>
    <w:p>
      <w:pPr>
        <w:pStyle w:val="BodyText"/>
      </w:pPr>
      <w:r>
        <w:rPr>
          <w:bCs/>
          <w:b/>
        </w:rPr>
        <w:t xml:space="preserve">Appendix: Key Metrics Summary</w:t>
      </w:r>
    </w:p>
    <w:p>
      <w:pPr>
        <w:numPr>
          <w:ilvl w:val="0"/>
          <w:numId w:val="1003"/>
        </w:numPr>
        <w:pStyle w:val="Compact"/>
      </w:pPr>
      <w:r>
        <w:t xml:space="preserve">Total Projects Sold (Q3): 12 (vs. 8 in Q2)</w:t>
      </w:r>
    </w:p>
    <w:p>
      <w:pPr>
        <w:numPr>
          <w:ilvl w:val="0"/>
          <w:numId w:val="1003"/>
        </w:numPr>
        <w:pStyle w:val="Compact"/>
      </w:pPr>
      <w:r>
        <w:t xml:space="preserve">Avg. Project Value: $16,340 (up from $14,800 in Q2)</w:t>
      </w:r>
    </w:p>
    <w:p>
      <w:pPr>
        <w:numPr>
          <w:ilvl w:val="0"/>
          <w:numId w:val="1003"/>
        </w:numPr>
        <w:pStyle w:val="Compact"/>
      </w:pPr>
      <w:r>
        <w:t xml:space="preserve">Caracas-Local Partnerships Secured: 7 new municipal/NGO agreements</w:t>
      </w:r>
    </w:p>
    <w:p>
      <w:pPr>
        <w:numPr>
          <w:ilvl w:val="0"/>
          <w:numId w:val="1003"/>
        </w:numPr>
        <w:pStyle w:val="Compact"/>
      </w:pPr>
      <w:r>
        <w:t xml:space="preserve">Researcher Retention Rate: 92% (industry avg.: 65%)</w:t>
      </w:r>
    </w:p>
    <w:p>
      <w:pPr>
        <w:pStyle w:val="FirstParagraph"/>
      </w:pPr>
      <w:r>
        <w:rPr>
          <w:iCs/>
          <w:i/>
        </w:rPr>
        <w:t xml:space="preserve">This report reflects the evolving reality of Academic Researcher sales in Venezuela Caracas—a marketplace where relevance to community survival is the ultimate sales driver.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Venezuela Caracas</dc:title>
  <dc:creator/>
  <dc:language>en</dc:language>
  <cp:keywords/>
  <dcterms:created xsi:type="dcterms:W3CDTF">2025-12-13T10:00:58Z</dcterms:created>
  <dcterms:modified xsi:type="dcterms:W3CDTF">2025-12-13T10:00:58Z</dcterms:modified>
</cp:coreProperties>
</file>

<file path=docProps/custom.xml><?xml version="1.0" encoding="utf-8"?>
<Properties xmlns="http://schemas.openxmlformats.org/officeDocument/2006/custom-properties" xmlns:vt="http://schemas.openxmlformats.org/officeDocument/2006/docPropsVTypes"/>
</file>