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1" w:name="X4ed52cb58f3c2c3075563ef9c1226ac1f7bb887"/>
    <w:p>
      <w:pPr>
        <w:pStyle w:val="Heading1"/>
      </w:pPr>
      <w:r>
        <w:t xml:space="preserve">Academic Researcher Sales Performance Report: Ho Chi Minh City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Research Solutions Management Team</w:t>
      </w:r>
      <w:r>
        <w:br/>
      </w:r>
      <w:r>
        <w:rPr>
          <w:bCs/>
          <w:b/>
        </w:rPr>
        <w:t xml:space="preserve">Prepared By:</w:t>
      </w:r>
      <w:r>
        <w:t xml:space="preserve"> </w:t>
      </w:r>
      <w:r>
        <w:t xml:space="preserve">Dr. Nguyen Thi Minh Anh, Senior Academic Researcher &amp; Sales Strategist</w:t>
      </w:r>
    </w:p>
    <w:bookmarkStart w:id="20" w:name="i.-executive-summary"/>
    <w:p>
      <w:pPr>
        <w:pStyle w:val="Heading2"/>
      </w:pPr>
      <w:r>
        <w:t xml:space="preserve">I. Executive Summary</w:t>
      </w:r>
    </w:p>
    <w:p>
      <w:pPr>
        <w:pStyle w:val="FirstParagraph"/>
      </w:pPr>
      <w:r>
        <w:t xml:space="preserve">This Sales Report details the performance of academic research services delivered in Vietnam Ho Chi Minh City during Q3 2023. As a leading Academic Researcher specializing in Southeast Asian market intelligence, my team achieved a 17% year-over-year growth in research contract value, securing six major institutional partnerships across universities and corporate R&amp;D centers. The Ho Chi Minh City market demonstrated exceptional potential for academic-industry collaboration, with the education sector driving 68% of new sales opportunities. This report analyzes key performance indicators, strategic initiatives, and actionable insights to accelerate growth in this dynamic market.</w:t>
      </w:r>
    </w:p>
    <w:bookmarkEnd w:id="20"/>
    <w:bookmarkStart w:id="21" w:name="X79167e0b5e0ee302d99a735525d8eca448c7861"/>
    <w:p>
      <w:pPr>
        <w:pStyle w:val="Heading2"/>
      </w:pPr>
      <w:r>
        <w:t xml:space="preserve">II. Market Context: Academic Research Ecosystem in Ho Chi Minh City</w:t>
      </w:r>
    </w:p>
    <w:p>
      <w:pPr>
        <w:pStyle w:val="FirstParagraph"/>
      </w:pPr>
      <w:r>
        <w:t xml:space="preserve">Ho Chi Minh City serves as Vietnam's primary economic engine and academic hub, hosting 47% of the nation's research-intensive institutions including the National University of Ho Chi Minh City (VNU-HCM), Ho Chi Minh City University of Technology, and leading medical universities. The city's rapid urbanization (population: 9 million) has intensified demand for data-driven solutions in healthcare, education reform, and sustainable urban development. As an Academic Researcher operating within this ecosystem, I've observed that Vietnamese institutions increasingly seek third-party validation of their research outputs to attract international funding. Our sales strategy capitalizes on this trend by positioning our academic rigor as a value multiplier for institutional credibility.</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Contract Value (USD)</w:t>
      </w:r>
    </w:p>
    <w:p>
      <w:pPr>
        <w:pStyle w:val="BodyText"/>
      </w:pPr>
      <w:r>
        <w:t xml:space="preserve">$187,500</w:t>
      </w:r>
    </w:p>
    <w:p>
      <w:pPr>
        <w:pStyle w:val="BodyText"/>
      </w:pPr>
      <w:r>
        <w:t xml:space="preserve">$169,800</w:t>
      </w:r>
    </w:p>
    <w:p>
      <w:pPr>
        <w:pStyle w:val="BodyText"/>
      </w:pPr>
      <w:r>
        <w:t xml:space="preserve">+17.2%</w:t>
      </w:r>
    </w:p>
    <w:p>
      <w:pPr>
        <w:pStyle w:val="BodyText"/>
      </w:pPr>
      <w:r>
        <w:t xml:space="preserve">New Institutional Clients</w:t>
      </w:r>
    </w:p>
    <w:p>
      <w:pPr>
        <w:pStyle w:val="BodyText"/>
      </w:pPr>
      <w:r>
        <w:t xml:space="preserve">6 (4 Universities, 2 Hospitals)</w:t>
      </w:r>
    </w:p>
    <w:p>
      <w:pPr>
        <w:pStyle w:val="BodyText"/>
      </w:pPr>
      <w:r>
        <w:t xml:space="preserve">4</w:t>
      </w:r>
    </w:p>
    <w:p>
      <w:pPr>
        <w:pStyle w:val="BodyText"/>
      </w:pPr>
      <w:r>
        <w:t xml:space="preserve">+50%</w:t>
      </w:r>
    </w:p>
    <w:p>
      <w:pPr>
        <w:pStyle w:val="BodyText"/>
      </w:pPr>
      <w:r>
        <w:t xml:space="preserve">89%</w:t>
      </w:r>
    </w:p>
    <w:p>
      <w:pPr>
        <w:pStyle w:val="BodyText"/>
      </w:pPr>
      <w:r>
        <w:t xml:space="preserve">83%</w:t>
      </w:r>
    </w:p>
    <w:p>
      <w:pPr>
        <w:pStyle w:val="BodyText"/>
      </w:pPr>
      <w:r>
        <w:br/>
      </w:r>
    </w:p>
    <w:bookmarkEnd w:id="22"/>
    <w:bookmarkStart w:id="26" w:name="X7fde21a212fd1e9c8e0aaac7a63e201f6362dad"/>
    <w:p>
      <w:pPr>
        <w:pStyle w:val="Heading2"/>
      </w:pPr>
      <w:r>
        <w:t xml:space="preserve">IV. Key Sales Success Stories in Ho Chi Minh City</w:t>
      </w:r>
    </w:p>
    <w:bookmarkStart w:id="23" w:name="X182fcb0b79358ec0234a11c70957aa2be113cf6"/>
    <w:p>
      <w:pPr>
        <w:pStyle w:val="Heading3"/>
      </w:pPr>
      <w:r>
        <w:t xml:space="preserve">A. National University of Ho Chi Minh City (VNU-HCM) - Healthcare Analytics Project</w:t>
      </w:r>
    </w:p>
    <w:p>
      <w:pPr>
        <w:pStyle w:val="FirstParagraph"/>
      </w:pPr>
      <w:r>
        <w:t xml:space="preserve">Secured $65,000 contract for longitudinal study on urban healthcare access patterns. As Academic Researcher, I designed the methodology validating 78% of university's internal data points through cross-referenced government health databases. The project directly supported VNU-HCM's bid for a WHO-funded healthcare initiative in Mekong Delta regions. Post-delivery, university leadership requested expansion to all 15 faculties.</w:t>
      </w:r>
    </w:p>
    <w:bookmarkEnd w:id="23"/>
    <w:bookmarkStart w:id="24" w:name="Xa6346ed41d0cdb2afb6515d6878a5a18f8c7d2b"/>
    <w:p>
      <w:pPr>
        <w:pStyle w:val="Heading3"/>
      </w:pPr>
      <w:r>
        <w:t xml:space="preserve">B. Ho Chi Minh City University of Technology - Sustainable Infrastructure Audit</w:t>
      </w:r>
    </w:p>
    <w:p>
      <w:pPr>
        <w:pStyle w:val="FirstParagraph"/>
      </w:pPr>
      <w:r>
        <w:t xml:space="preserve">Won $42,000 contract for infrastructure resilience assessment addressing climate vulnerability in coastal districts. Our academic research team deployed satellite imagery analysis combined with community surveys across 12 neighborhoods. The deliverables identified critical flood-risk corridors that became central to the city's $18M urban renewal budget allocation.</w:t>
      </w:r>
    </w:p>
    <w:bookmarkEnd w:id="24"/>
    <w:bookmarkStart w:id="25" w:name="Xde7b4193164899c65d9279e2bbcb775e9d14b53"/>
    <w:p>
      <w:pPr>
        <w:pStyle w:val="Heading3"/>
      </w:pPr>
      <w:r>
        <w:t xml:space="preserve">C. International Medical Research Center (IMRC) - Pharma Market Validation</w:t>
      </w:r>
    </w:p>
    <w:p>
      <w:pPr>
        <w:pStyle w:val="FirstParagraph"/>
      </w:pPr>
      <w:r>
        <w:t xml:space="preserve">Generated $54,000 through contract with IMRC for market-entry analysis of novel diabetes treatments targeting Vietnamese demographics. As Academic Researcher, I conducted ethnographic studies across 3 provinces revealing cultural barriers to medication adherence that informed the client's pricing strategy. This project became a template for all new pharma clients in Southeast Asia.</w:t>
      </w:r>
    </w:p>
    <w:bookmarkEnd w:id="25"/>
    <w:bookmarkEnd w:id="26"/>
    <w:bookmarkStart w:id="27" w:name="X7f14cdf52ab3f814a8119f4b5c0a43194d12ce9"/>
    <w:p>
      <w:pPr>
        <w:pStyle w:val="Heading2"/>
      </w:pPr>
      <w:r>
        <w:t xml:space="preserve">V. Market Challenges &amp; Strategic Adaptations</w:t>
      </w:r>
    </w:p>
    <w:p>
      <w:pPr>
        <w:pStyle w:val="FirstParagraph"/>
      </w:pPr>
      <w:r>
        <w:t xml:space="preserve">Operating as an Academic Researcher in Ho Chi Minh City presents unique challenges requiring specialized sales approaches:</w:t>
      </w:r>
    </w:p>
    <w:p>
      <w:pPr>
        <w:numPr>
          <w:ilvl w:val="0"/>
          <w:numId w:val="1001"/>
        </w:numPr>
        <w:pStyle w:val="Compact"/>
      </w:pPr>
      <w:r>
        <w:rPr>
          <w:bCs/>
          <w:b/>
        </w:rPr>
        <w:t xml:space="preserve">Cultural Nuance:</w:t>
      </w:r>
      <w:r>
        <w:t xml:space="preserve"> </w:t>
      </w:r>
      <w:r>
        <w:t xml:space="preserve">Vietnamese academic institutions prioritize relationship-building over transactional interactions. We adapted our sales process to include 30% more face-to-face meetings and culturally attuned communication (e.g., formal titles, gift-giving protocols during negotiations).</w:t>
      </w:r>
    </w:p>
    <w:p>
      <w:pPr>
        <w:numPr>
          <w:ilvl w:val="0"/>
          <w:numId w:val="1001"/>
        </w:numPr>
        <w:pStyle w:val="Compact"/>
      </w:pPr>
      <w:r>
        <w:rPr>
          <w:bCs/>
          <w:b/>
        </w:rPr>
        <w:t xml:space="preserve">Bureaucratic Complexity:</w:t>
      </w:r>
      <w:r>
        <w:t xml:space="preserve"> </w:t>
      </w:r>
      <w:r>
        <w:t xml:space="preserve">Research approval processes require navigating 2-3 administrative layers. Our sales team now co-develops project timelines with institutional compliance officers from inception, reducing average contract finalization from 90 to 58 days.</w:t>
      </w:r>
    </w:p>
    <w:p>
      <w:pPr>
        <w:numPr>
          <w:ilvl w:val="0"/>
          <w:numId w:val="1001"/>
        </w:numPr>
        <w:pStyle w:val="Compact"/>
      </w:pPr>
      <w:r>
        <w:rPr>
          <w:bCs/>
          <w:b/>
        </w:rPr>
        <w:t xml:space="preserve">Value Proposition Alignment:</w:t>
      </w:r>
      <w:r>
        <w:t xml:space="preserve"> </w:t>
      </w:r>
      <w:r>
        <w:t xml:space="preserve">Initial sales pitches focused on technical capabilities rather than strategic outcomes. We pivoted to framing research as a "reputation capital" asset - demonstrating how data-driven insights increased university rankings (e.g., VNU-HCM's global ranking rose 22 positions after our urban studies report).</w:t>
      </w:r>
    </w:p>
    <w:bookmarkEnd w:id="27"/>
    <w:bookmarkStart w:id="28" w:name="X800fe34a4b7f457d70a5ab501ded23d02fa43e9"/>
    <w:p>
      <w:pPr>
        <w:pStyle w:val="Heading2"/>
      </w:pPr>
      <w:r>
        <w:t xml:space="preserve">VI. Growth Opportunities in Ho Chi Minh City</w:t>
      </w:r>
    </w:p>
    <w:p>
      <w:pPr>
        <w:pStyle w:val="FirstParagraph"/>
      </w:pPr>
      <w:r>
        <w:t xml:space="preserve">Based on field research, we identify three high-potential growth vectors for Academic Researcher services:</w:t>
      </w:r>
    </w:p>
    <w:p>
      <w:pPr>
        <w:numPr>
          <w:ilvl w:val="0"/>
          <w:numId w:val="1002"/>
        </w:numPr>
        <w:pStyle w:val="Compact"/>
      </w:pPr>
      <w:r>
        <w:rPr>
          <w:bCs/>
          <w:b/>
        </w:rPr>
        <w:t xml:space="preserve">Government Collaboration Programs:</w:t>
      </w:r>
      <w:r>
        <w:t xml:space="preserve"> </w:t>
      </w:r>
      <w:r>
        <w:t xml:space="preserve">The Ministry of Science and Technology's 2030 Digital Transformation Plan creates $12M in annual RFPs. We're developing a standardized proposal template for municipal-level research contracts.</w:t>
      </w:r>
    </w:p>
    <w:p>
      <w:pPr>
        <w:numPr>
          <w:ilvl w:val="0"/>
          <w:numId w:val="1002"/>
        </w:numPr>
        <w:pStyle w:val="Compact"/>
      </w:pPr>
      <w:r>
        <w:rPr>
          <w:bCs/>
          <w:b/>
        </w:rPr>
        <w:t xml:space="preserve">SME Research Partnerships:</w:t>
      </w:r>
      <w:r>
        <w:t xml:space="preserve"> </w:t>
      </w:r>
      <w:r>
        <w:t xml:space="preserve">Ho Chi Minh City hosts 35,000 SMEs seeking academic validation for product innovation. Our pilot "Research Accelerator" package (75% lower cost than full studies) generated 14 qualified leads in Q3.</w:t>
      </w:r>
    </w:p>
    <w:p>
      <w:pPr>
        <w:numPr>
          <w:ilvl w:val="0"/>
          <w:numId w:val="1002"/>
        </w:numPr>
        <w:pStyle w:val="Compact"/>
      </w:pPr>
      <w:r>
        <w:rPr>
          <w:bCs/>
          <w:b/>
        </w:rPr>
        <w:t xml:space="preserve">International Student Research Market:</w:t>
      </w:r>
      <w:r>
        <w:t xml:space="preserve"> </w:t>
      </w:r>
      <w:r>
        <w:t xml:space="preserve">With 28% year-on-year growth in foreign student enrollment at HCMC universities, we're creating multilingual research reports for overseas institutions (e.g., English/French reports for EU partnerships).</w:t>
      </w:r>
    </w:p>
    <w:bookmarkEnd w:id="28"/>
    <w:bookmarkStart w:id="29" w:name="vii.-strategic-recommendations"/>
    <w:p>
      <w:pPr>
        <w:pStyle w:val="Heading2"/>
      </w:pPr>
      <w:r>
        <w:t xml:space="preserve">VII. Strategic Recommendations</w:t>
      </w:r>
    </w:p>
    <w:p>
      <w:pPr>
        <w:pStyle w:val="FirstParagraph"/>
      </w:pPr>
      <w:r>
        <w:t xml:space="preserve">To maintain leadership position as Academic Researcher serving Ho Chi Minh City markets, we propose:</w:t>
      </w:r>
    </w:p>
    <w:p>
      <w:pPr>
        <w:numPr>
          <w:ilvl w:val="0"/>
          <w:numId w:val="1003"/>
        </w:numPr>
        <w:pStyle w:val="Compact"/>
      </w:pPr>
      <w:r>
        <w:rPr>
          <w:bCs/>
          <w:b/>
        </w:rPr>
        <w:t xml:space="preserve">Establish HCMC Research Hub:</w:t>
      </w:r>
      <w:r>
        <w:t xml:space="preserve"> </w:t>
      </w:r>
      <w:r>
        <w:t xml:space="preserve">Dedicate $85,000 to open a local office housing 4 research staff. This will reduce response time to proposals from 14 to 3 days and enable real-time market intelligence gathering.</w:t>
      </w:r>
    </w:p>
    <w:p>
      <w:pPr>
        <w:numPr>
          <w:ilvl w:val="0"/>
          <w:numId w:val="1003"/>
        </w:numPr>
        <w:pStyle w:val="Compact"/>
      </w:pPr>
      <w:r>
        <w:rPr>
          <w:bCs/>
          <w:b/>
        </w:rPr>
        <w:t xml:space="preserve">Develop Academic Sales Certification:</w:t>
      </w:r>
      <w:r>
        <w:t xml:space="preserve"> </w:t>
      </w:r>
      <w:r>
        <w:t xml:space="preserve">Partner with VNU-HCM for a joint training program certifying sales personnel in Vietnamese academic protocols – expected to increase conversion rates by 25%.</w:t>
      </w:r>
    </w:p>
    <w:p>
      <w:pPr>
        <w:numPr>
          <w:ilvl w:val="0"/>
          <w:numId w:val="1003"/>
        </w:numPr>
        <w:pStyle w:val="Compact"/>
      </w:pPr>
      <w:r>
        <w:rPr>
          <w:bCs/>
          <w:b/>
        </w:rPr>
        <w:t xml:space="preserve">Create "Research ROI" Dashboard:</w:t>
      </w:r>
      <w:r>
        <w:t xml:space="preserve"> </w:t>
      </w:r>
      <w:r>
        <w:t xml:space="preserve">Build digital platform showing clients historical project impact (e.g., "Our study led to $4.2M in new grant funding for University X"). This visual proof will be presented at all sales meetings.</w:t>
      </w:r>
    </w:p>
    <w:bookmarkEnd w:id="29"/>
    <w:bookmarkStart w:id="30" w:name="viii.-conclusion"/>
    <w:p>
      <w:pPr>
        <w:pStyle w:val="Heading2"/>
      </w:pPr>
      <w:r>
        <w:t xml:space="preserve">VIII. Conclusion</w:t>
      </w:r>
    </w:p>
    <w:p>
      <w:pPr>
        <w:pStyle w:val="FirstParagraph"/>
      </w:pPr>
      <w:r>
        <w:t xml:space="preserve">The Ho Chi Minh City market has proven to be the most dynamic and profitable segment for our Academic Researcher services, demonstrating how rigorous academic methodology directly drives commercial value. With 68% of new clients originating from institutional referrals and a 17% YoY growth rate, this region is now our strategic priority. As an Academic Researcher deeply embedded in Vietnam's knowledge ecosystem, I'm confident that continued investment in local partnership development will solidify our position as the premier research services provider for Ho Chi Minh City's academic and corporate communities. Our next target: achieving 25% market share in HCMC-based research contracts by Q1 2024 through data-driven sales strategy execution.</w:t>
      </w:r>
    </w:p>
    <w:p>
      <w:pPr>
        <w:pStyle w:val="BodyText"/>
      </w:pPr>
      <w:r>
        <w:rPr>
          <w:iCs/>
          <w:i/>
        </w:rPr>
        <w:t xml:space="preserve">Prepared with academic rigor, executed with commercial insight, serving Vietnam Ho Chi Minh City's knowledge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 Ho Chi Minh City</dc:title>
  <dc:creator/>
  <dc:language>en</dc:language>
  <cp:keywords/>
  <dcterms:created xsi:type="dcterms:W3CDTF">2025-12-12T02:54:32Z</dcterms:created>
  <dcterms:modified xsi:type="dcterms:W3CDTF">2025-12-12T02:54:32Z</dcterms:modified>
</cp:coreProperties>
</file>

<file path=docProps/custom.xml><?xml version="1.0" encoding="utf-8"?>
<Properties xmlns="http://schemas.openxmlformats.org/officeDocument/2006/custom-properties" xmlns:vt="http://schemas.openxmlformats.org/officeDocument/2006/docPropsVTypes"/>
</file>