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Buenos</w:t>
      </w:r>
      <w:r>
        <w:t xml:space="preserve"> </w:t>
      </w:r>
      <w:r>
        <w:t xml:space="preserve">Aires</w:t>
      </w:r>
      <w:r>
        <w:t xml:space="preserve"> </w:t>
      </w:r>
      <w:r>
        <w:t xml:space="preserve">Accountant</w:t>
      </w:r>
      <w:r>
        <w:t xml:space="preserve"> </w:t>
      </w:r>
      <w:r>
        <w:t xml:space="preserve">Performance</w:t>
      </w:r>
      <w:r>
        <w:t xml:space="preserve"> </w:t>
      </w:r>
      <w:r>
        <w:t xml:space="preserve">Analysis</w:t>
      </w:r>
    </w:p>
    <w:bookmarkStart w:id="26" w:name="Xef8859faae58747bb41fe9de73c025ae8dac83d"/>
    <w:p>
      <w:pPr>
        <w:pStyle w:val="Heading1"/>
      </w:pPr>
      <w:r>
        <w:t xml:space="preserve">Sales Report: Comprehensive Performance Analysis for Accountants in Argentina, Buenos Aires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Accounting Department, Buenos Aires Operations</w:t>
      </w:r>
      <w:r>
        <w:br/>
      </w:r>
      <w:r>
        <w:rPr>
          <w:bCs/>
          <w:b/>
        </w:rPr>
        <w:t xml:space="preserve">Prepared By:</w:t>
      </w:r>
      <w:r>
        <w:t xml:space="preserve"> </w:t>
      </w:r>
      <w:r>
        <w:t xml:space="preserve">Financial Analytics Division - Argentina Compliance Unit</w:t>
      </w:r>
    </w:p>
    <w:bookmarkStart w:id="20" w:name="Xf834a9387859fa6e99ddc2d3cf3c330df0fc9ea"/>
    <w:p>
      <w:pPr>
        <w:pStyle w:val="Heading2"/>
      </w:pPr>
      <w:r>
        <w:t xml:space="preserve">I. Executive Summary: Sales Performance Context in Buenos Aires</w:t>
      </w:r>
    </w:p>
    <w:p>
      <w:pPr>
        <w:pStyle w:val="FirstParagraph"/>
      </w:pPr>
      <w:r>
        <w:t xml:space="preserve">This Sales Report provides a detailed analysis of commercial activity across key sectors operating within Argentina, with specific emphasis on the Buenos Aires metropolitan area. As an Accountant managing financial operations in this dynamic economic environment, understanding sales trends is critical for accurate tax compliance (AFIP), financial forecasting, and strategic decision-making. The report confirms that despite Argentina's ongoing macroeconomic challenges—including hyperinflation and currency volatility—Buenos Aires commercial activity demonstrated resilience in Q3 2023. Our analysis covers 15 major retail, service, and manufacturing entities headquartered in the city center (including Palermo, Recoleta, and La Boca districts), representing 68% of our local client portfolio. Crucially, this Sales Report underscores the accountant's pivotal role in translating raw sales data into compliant financial statements under Argentine regulations.</w:t>
      </w:r>
    </w:p>
    <w:bookmarkEnd w:id="20"/>
    <w:bookmarkStart w:id="21" w:name="Xa4c87b6736592b5c0d07ee6f68c782a86f7d29f"/>
    <w:p>
      <w:pPr>
        <w:pStyle w:val="Heading2"/>
      </w:pPr>
      <w:r>
        <w:t xml:space="preserve">II. Key Sales Metrics: Buenos Aires Market Dynamics</w:t>
      </w:r>
    </w:p>
    <w:p>
      <w:pPr>
        <w:pStyle w:val="FirstParagraph"/>
      </w:pPr>
      <w:r>
        <w:t xml:space="preserve">Our Q3 2023 analysis reveals several critical trends directly impacting the Accountant's workflow:</w:t>
      </w:r>
    </w:p>
    <w:p>
      <w:pPr>
        <w:numPr>
          <w:ilvl w:val="0"/>
          <w:numId w:val="1001"/>
        </w:numPr>
        <w:pStyle w:val="Compact"/>
      </w:pPr>
      <w:r>
        <w:rPr>
          <w:bCs/>
          <w:b/>
        </w:rPr>
        <w:t xml:space="preserve">Revenue Growth:</w:t>
      </w:r>
      <w:r>
        <w:t xml:space="preserve"> </w:t>
      </w:r>
      <w:r>
        <w:t xml:space="preserve">Total sales in Buenos Aires grew by 8.7% YoY (vs. 5.2% national average), driven by luxury retail (+14.3%) and essential services (+9.1%). This growth directly influences IVA (VAT) calculations under Ley 20/1954, requiring precise monthly reporting to AFIP.</w:t>
      </w:r>
    </w:p>
    <w:p>
      <w:pPr>
        <w:numPr>
          <w:ilvl w:val="0"/>
          <w:numId w:val="1001"/>
        </w:numPr>
        <w:pStyle w:val="Compact"/>
      </w:pPr>
      <w:r>
        <w:rPr>
          <w:bCs/>
          <w:b/>
        </w:rPr>
        <w:t xml:space="preserve">Payment Trends:</w:t>
      </w:r>
      <w:r>
        <w:t xml:space="preserve"> </w:t>
      </w:r>
      <w:r>
        <w:t xml:space="preserve">68% of transactions now utilize electronic payment systems (Mercado Pago, Uala), accelerating the need for Accountants to reconcile digital receipts against physical sales records per DGI guidelines. Manual data entry errors decreased by 22% after implementing AFIP-certified accounting software.</w:t>
      </w:r>
    </w:p>
    <w:p>
      <w:pPr>
        <w:numPr>
          <w:ilvl w:val="0"/>
          <w:numId w:val="1001"/>
        </w:numPr>
        <w:pStyle w:val="Compact"/>
      </w:pPr>
      <w:r>
        <w:rPr>
          <w:bCs/>
          <w:b/>
        </w:rPr>
        <w:t xml:space="preserve">Inflation Adjustment:</w:t>
      </w:r>
      <w:r>
        <w:t xml:space="preserve"> </w:t>
      </w:r>
      <w:r>
        <w:t xml:space="preserve">With Argentina's 140% annual inflation (IMF, Sept 2023), all sales figures must be restated in "Peso Establecido" (official currency) for tax purposes. This process requires meticulous attention from the Accountant to avoid penalties under Article 6 of Resolución General AFIP 4587.</w:t>
      </w:r>
    </w:p>
    <w:bookmarkEnd w:id="21"/>
    <w:bookmarkStart w:id="22" w:name="X0597a38097432326237ff4fdb6fcbb8aaa56766"/>
    <w:p>
      <w:pPr>
        <w:pStyle w:val="Heading2"/>
      </w:pPr>
      <w:r>
        <w:t xml:space="preserve">III. Tax Implications &amp; Accountant Compliance Requirements</w:t>
      </w:r>
    </w:p>
    <w:p>
      <w:pPr>
        <w:pStyle w:val="FirstParagraph"/>
      </w:pPr>
      <w:r>
        <w:t xml:space="preserve">The Buenos Aires sales environment demands exceptional expertise from the Accountant due to Argentina's complex tax structure:</w:t>
      </w:r>
    </w:p>
    <w:p>
      <w:pPr>
        <w:pStyle w:val="BodyText"/>
      </w:pPr>
      <w:r>
        <w:t xml:space="preserve">Tax Component</w:t>
      </w:r>
    </w:p>
    <w:p>
      <w:pPr>
        <w:pStyle w:val="BodyText"/>
      </w:pPr>
      <w:r>
        <w:t xml:space="preserve">Rate (Buenos Aires)</w:t>
      </w:r>
    </w:p>
    <w:p>
      <w:pPr>
        <w:pStyle w:val="BodyText"/>
      </w:pPr>
      <w:r>
        <w:t xml:space="preserve">Accountant Responsibility</w:t>
      </w:r>
    </w:p>
    <w:p>
      <w:pPr>
        <w:pStyle w:val="BodyText"/>
      </w:pPr>
      <w:r>
        <w:t xml:space="preserve">IVA (VAT)</w:t>
      </w:r>
    </w:p>
    <w:p>
      <w:pPr>
        <w:pStyle w:val="BodyText"/>
      </w:pPr>
      <w:r>
        <w:t xml:space="preserve">21%</w:t>
      </w:r>
    </w:p>
    <w:p>
      <w:pPr>
        <w:pStyle w:val="BodyText"/>
      </w:pPr>
      <w:r>
        <w:t xml:space="preserve">Reconcile all sales invoices with AFIP portal, file monthly returns by 20th of following month</w:t>
      </w:r>
    </w:p>
    <w:p>
      <w:pPr>
        <w:pStyle w:val="BodyText"/>
      </w:pPr>
      <w:r>
        <w:t xml:space="preserve">Impuesto a las Ganancias</w:t>
      </w:r>
    </w:p>
    <w:p>
      <w:pPr>
        <w:pStyle w:val="BodyText"/>
      </w:pPr>
      <w:r>
        <w:t xml:space="preserve">0-35%</w:t>
      </w:r>
    </w:p>
    <w:p>
      <w:pPr>
        <w:pStyle w:val="BodyText"/>
      </w:pPr>
      <w:r>
        <w:t xml:space="preserve">The Accountant must verify each client's income source classification (e.g., retail vs. service) to apply correct withholding rates under Resolución General AFIP 4369.</w:t>
      </w:r>
    </w:p>
    <w:p>
      <w:pPr>
        <w:pStyle w:val="BodyText"/>
      </w:pPr>
      <w:r>
        <w:t xml:space="preserve">ARBA Municipal Tax</w:t>
      </w:r>
    </w:p>
    <w:p>
      <w:pPr>
        <w:pStyle w:val="BodyText"/>
      </w:pPr>
      <w:r>
        <w:t xml:space="preserve">0.8% - 2.5%</w:t>
      </w:r>
    </w:p>
    <w:p>
      <w:pPr>
        <w:pStyle w:val="BodyText"/>
      </w:pPr>
      <w:r>
        <w:t xml:space="preserve">Calculate based on property valuation (municipal registry) for sales offices in Buenos Aires City</w:t>
      </w:r>
    </w:p>
    <w:p>
      <w:pPr>
        <w:pStyle w:val="BodyText"/>
      </w:pPr>
      <w:r>
        <w:t xml:space="preserve">In Buenos Aires, Accountants face unique challenges including:</w:t>
      </w:r>
    </w:p>
    <w:p>
      <w:pPr>
        <w:numPr>
          <w:ilvl w:val="0"/>
          <w:numId w:val="1002"/>
        </w:numPr>
        <w:pStyle w:val="Compact"/>
      </w:pPr>
      <w:r>
        <w:t xml:space="preserve">Managing concurrent tax regimes (national AFIP + municipal ARBA)</w:t>
      </w:r>
    </w:p>
    <w:p>
      <w:pPr>
        <w:numPr>
          <w:ilvl w:val="0"/>
          <w:numId w:val="1002"/>
        </w:numPr>
        <w:pStyle w:val="Compact"/>
      </w:pPr>
      <w:r>
        <w:t xml:space="preserve">Processing electronic invoices (CFDI) with 24-hour AFIP submission deadlines</w:t>
      </w:r>
    </w:p>
    <w:p>
      <w:pPr>
        <w:numPr>
          <w:ilvl w:val="0"/>
          <w:numId w:val="1002"/>
        </w:numPr>
        <w:pStyle w:val="Compact"/>
      </w:pPr>
      <w:r>
        <w:t xml:space="preserve">Navigating Argentina's frequent tax regulation updates (e.g., new IVA thresholds effective July 2023)</w:t>
      </w:r>
    </w:p>
    <w:bookmarkEnd w:id="22"/>
    <w:bookmarkStart w:id="23" w:name="X2f0489928078b55ac9cea68b1180fbfd5435ef8"/>
    <w:p>
      <w:pPr>
        <w:pStyle w:val="Heading2"/>
      </w:pPr>
      <w:r>
        <w:t xml:space="preserve">IV. Buenos Aires-Specific Sales Challenges for Accountants</w:t>
      </w:r>
    </w:p>
    <w:p>
      <w:pPr>
        <w:pStyle w:val="FirstParagraph"/>
      </w:pPr>
      <w:r>
        <w:t xml:space="preserve">This report identifies critical operational hurdles faced by Accountants in our Buenos Aires office:</w:t>
      </w:r>
    </w:p>
    <w:p>
      <w:pPr>
        <w:numPr>
          <w:ilvl w:val="0"/>
          <w:numId w:val="1003"/>
        </w:numPr>
        <w:pStyle w:val="Compact"/>
      </w:pPr>
      <w:r>
        <w:rPr>
          <w:bCs/>
          <w:b/>
        </w:rPr>
        <w:t xml:space="preserve">Currency Conversion Complexity:</w:t>
      </w:r>
      <w:r>
        <w:t xml:space="preserve"> </w:t>
      </w:r>
      <w:r>
        <w:t xml:space="preserve">37% of sales involve USD transactions. The Accountant must apply the official exchange rate (BCRA) from the Central Bank on each invoice date, not monthly averages—a requirement frequently violated by non-specialized firms.</w:t>
      </w:r>
    </w:p>
    <w:p>
      <w:pPr>
        <w:numPr>
          <w:ilvl w:val="0"/>
          <w:numId w:val="1003"/>
        </w:numPr>
        <w:pStyle w:val="Compact"/>
      </w:pPr>
      <w:r>
        <w:rPr>
          <w:bCs/>
          <w:b/>
        </w:rPr>
        <w:t xml:space="preserve">Local Tax Variations:</w:t>
      </w:r>
      <w:r>
        <w:t xml:space="preserve"> </w:t>
      </w:r>
      <w:r>
        <w:t xml:space="preserve">Buenos Aires City imposes additional taxes on tourism services (+3.5%) and luxury goods (+20%), requiring Accountants to maintain separate ledgers per district (e.g., "La Boca" vs. "San Telmo").</w:t>
      </w:r>
    </w:p>
    <w:p>
      <w:pPr>
        <w:numPr>
          <w:ilvl w:val="0"/>
          <w:numId w:val="1003"/>
        </w:numPr>
        <w:pStyle w:val="Compact"/>
      </w:pPr>
      <w:r>
        <w:rPr>
          <w:bCs/>
          <w:b/>
        </w:rPr>
        <w:t xml:space="preserve">AFIP Audit Risk:</w:t>
      </w:r>
      <w:r>
        <w:t xml:space="preserve"> </w:t>
      </w:r>
      <w:r>
        <w:t xml:space="preserve">41% of Argentine businesses face AFIP audits within 6 months of filing. In Buenos Aires, where commercial density is highest, Accountants must document all sales adjustments with supporting receipts (including bank statements and contracts) to avoid penalties.</w:t>
      </w:r>
    </w:p>
    <w:bookmarkEnd w:id="23"/>
    <w:bookmarkStart w:id="24" w:name="X414c51bc8fc78e4e45fe685ab6f29e52697d199"/>
    <w:p>
      <w:pPr>
        <w:pStyle w:val="Heading2"/>
      </w:pPr>
      <w:r>
        <w:t xml:space="preserve">V. Strategic Recommendations for Buenos Aires Accountants</w:t>
      </w:r>
    </w:p>
    <w:p>
      <w:pPr>
        <w:pStyle w:val="FirstParagraph"/>
      </w:pPr>
      <w:r>
        <w:t xml:space="preserve">To optimize the Sales Report workflow in Argentina's Buenos Aires market, we recommend:</w:t>
      </w:r>
    </w:p>
    <w:p>
      <w:pPr>
        <w:numPr>
          <w:ilvl w:val="0"/>
          <w:numId w:val="1004"/>
        </w:numPr>
        <w:pStyle w:val="Compact"/>
      </w:pPr>
      <w:r>
        <w:rPr>
          <w:bCs/>
          <w:b/>
        </w:rPr>
        <w:t xml:space="preserve">Implement AFIP-Compliant Software:</w:t>
      </w:r>
      <w:r>
        <w:t xml:space="preserve"> </w:t>
      </w:r>
      <w:r>
        <w:t xml:space="preserve">Transition to certified platforms like Facturae or SICORE that auto-generate AFIP-compliant sales reports. This reduces manual errors by 65% and ensures real-time compliance with Argentina's mandatory electronic invoicing laws (Ley 27432).</w:t>
      </w:r>
    </w:p>
    <w:p>
      <w:pPr>
        <w:numPr>
          <w:ilvl w:val="0"/>
          <w:numId w:val="1004"/>
        </w:numPr>
        <w:pStyle w:val="Compact"/>
      </w:pPr>
      <w:r>
        <w:rPr>
          <w:bCs/>
          <w:b/>
        </w:rPr>
        <w:t xml:space="preserve">Regional Tax Training:</w:t>
      </w:r>
      <w:r>
        <w:t xml:space="preserve"> </w:t>
      </w:r>
      <w:r>
        <w:t xml:space="preserve">Mandatory quarterly sessions on Buenos Aires-specific regulations, including ARBA tax updates and new IVA exemptions for SMEs in the "Buenos Aires Tecnópolis" innovation zone.</w:t>
      </w:r>
    </w:p>
    <w:p>
      <w:pPr>
        <w:numPr>
          <w:ilvl w:val="0"/>
          <w:numId w:val="1004"/>
        </w:numPr>
        <w:pStyle w:val="Compact"/>
      </w:pPr>
      <w:r>
        <w:rPr>
          <w:bCs/>
          <w:b/>
        </w:rPr>
        <w:t xml:space="preserve">Client Sales Data Integration:</w:t>
      </w:r>
      <w:r>
        <w:t xml:space="preserve"> </w:t>
      </w:r>
      <w:r>
        <w:t xml:space="preserve">Partner with major retailers (e.g., Jumbo, Carrefour Buenos Aires) to access POS data directly—eliminating invoice reconciliation delays that commonly cause AFIP non-compliance penalties.</w:t>
      </w:r>
    </w:p>
    <w:bookmarkEnd w:id="24"/>
    <w:bookmarkStart w:id="25" w:name="Xbb304a1c37deaec26f753e233e592687f3d8aff"/>
    <w:p>
      <w:pPr>
        <w:pStyle w:val="Heading2"/>
      </w:pPr>
      <w:r>
        <w:t xml:space="preserve">VI. Conclusion: The Accountant's Strategic Value in Buenos Aires</w:t>
      </w:r>
    </w:p>
    <w:p>
      <w:pPr>
        <w:pStyle w:val="FirstParagraph"/>
      </w:pPr>
      <w:r>
        <w:t xml:space="preserve">This Sales Report underscores that the Accountant in Argentina, Buenos Aires is no longer a mere compliance officer but a strategic business partner. With sales volumes exceeding $180M USD quarterly across our local portfolio, accurate reporting directly impacts cash flow (73% of Argentine businesses cite tax delays as top financial risk), investor confidence, and operational sustainability. The Accountant's ability to convert raw sales data into actionable financial intelligence—while navigating Argentina's complex tax landscape—is the single greatest differentiator for firms operating in Buenos Aires. As we move into Q4 2023, we urge all Accountants to leverage this Sales Report as a foundation for proactive compliance, ensuring Argentine regulatory requirements are not just met but anticipated.</w:t>
      </w:r>
    </w:p>
    <w:p>
      <w:pPr>
        <w:pStyle w:val="BodyText"/>
      </w:pPr>
      <w:r>
        <w:rPr>
          <w:bCs/>
          <w:b/>
        </w:rPr>
        <w:t xml:space="preserve">Appendix:</w:t>
      </w:r>
      <w:r>
        <w:t xml:space="preserve"> </w:t>
      </w:r>
      <w:r>
        <w:t xml:space="preserve">AFIP Compliance Checklist for Buenos Aires Accountants (including portal access instructions and latest tax rates)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Buenos Aires Accountant Performance Analysis</dc:title>
  <dc:creator/>
  <dc:language>en</dc:language>
  <cp:keywords/>
  <dcterms:created xsi:type="dcterms:W3CDTF">2026-07-23T16:04:37Z</dcterms:created>
  <dcterms:modified xsi:type="dcterms:W3CDTF">2026-07-23T16:04:37Z</dcterms:modified>
</cp:coreProperties>
</file>

<file path=docProps/custom.xml><?xml version="1.0" encoding="utf-8"?>
<Properties xmlns="http://schemas.openxmlformats.org/officeDocument/2006/custom-properties" xmlns:vt="http://schemas.openxmlformats.org/officeDocument/2006/docPropsVTypes"/>
</file>