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Cordoba</w:t>
      </w:r>
      <w:r>
        <w:t xml:space="preserve"> </w:t>
      </w:r>
      <w:r>
        <w:t xml:space="preserve">Accountant</w:t>
      </w:r>
      <w:r>
        <w:t xml:space="preserve"> </w:t>
      </w:r>
      <w:r>
        <w:t xml:space="preserve">Department</w:t>
      </w:r>
    </w:p>
    <w:bookmarkStart w:id="27" w:name="X7c75714dbd9f804e50eb5872489158c1958065b"/>
    <w:p>
      <w:pPr>
        <w:pStyle w:val="Heading1"/>
      </w:pPr>
      <w:r>
        <w:t xml:space="preserve">Quarterly Sales Performance Report: Argentina Cordoba Accounting Division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Financial Oversight Committee</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Accounting Department, Cordoba Regional Office</w:t>
      </w:r>
    </w:p>
    <w:bookmarkStart w:id="20" w:name="i.-executive-summary"/>
    <w:p>
      <w:pPr>
        <w:pStyle w:val="Heading2"/>
      </w:pPr>
      <w:r>
        <w:t xml:space="preserve">I. Executive Summary</w:t>
      </w:r>
    </w:p>
    <w:p>
      <w:pPr>
        <w:pStyle w:val="FirstParagraph"/>
      </w:pPr>
      <w:r>
        <w:t xml:space="preserve">This comprehensive Sales Report details the financial performance of our commercial operations across Argentina Cordoba during Q3 2023, with particular emphasis on the critical role of our Accountant team in ensuring regulatory compliance and data integrity. The Cordoba region contributed 34% to national sales targets, achieving a total revenue of ARS 187.5 million (USD $201,500) against a Q2 target of ARS 168.2 million – representing an 11.5% growth rate. This success was directly enabled by our Accountant department's rigorous implementation of Argentina's</w:t>
      </w:r>
      <w:r>
        <w:t xml:space="preserve"> </w:t>
      </w:r>
      <w:r>
        <w:rPr>
          <w:iCs/>
          <w:i/>
        </w:rPr>
        <w:t xml:space="preserve">Impuesto a las Ganancias</w:t>
      </w:r>
      <w:r>
        <w:t xml:space="preserve">,</w:t>
      </w:r>
      <w:r>
        <w:t xml:space="preserve"> </w:t>
      </w:r>
      <w:r>
        <w:rPr>
          <w:iCs/>
          <w:i/>
        </w:rPr>
        <w:t xml:space="preserve">IVA</w:t>
      </w:r>
      <w:r>
        <w:t xml:space="preserve">, and provincial tax protocols under Cordoba's specific economic framework.</w:t>
      </w:r>
    </w:p>
    <w:bookmarkEnd w:id="20"/>
    <w:bookmarkStart w:id="21" w:name="X9338e91902061a456fa061aebf2cc25a449dbc5"/>
    <w:p>
      <w:pPr>
        <w:pStyle w:val="Heading2"/>
      </w:pPr>
      <w:r>
        <w:t xml:space="preserve">II. Regional Sales Performance: Cordoba Context</w:t>
      </w:r>
    </w:p>
    <w:p>
      <w:pPr>
        <w:pStyle w:val="FirstParagraph"/>
      </w:pPr>
      <w:r>
        <w:t xml:space="preserve">The Argentine market in Cordoba remains resilient despite national inflation challenges, with key sectors driving performance:</w:t>
      </w:r>
    </w:p>
    <w:p>
      <w:pPr>
        <w:numPr>
          <w:ilvl w:val="0"/>
          <w:numId w:val="1001"/>
        </w:numPr>
        <w:pStyle w:val="Compact"/>
      </w:pPr>
      <w:r>
        <w:rPr>
          <w:bCs/>
          <w:b/>
        </w:rPr>
        <w:t xml:space="preserve">Automotive Industry:</w:t>
      </w:r>
      <w:r>
        <w:t xml:space="preserve"> </w:t>
      </w:r>
      <w:r>
        <w:t xml:space="preserve">42% of total sales (ARS 78.7M), led by commercial vehicle distributors in Villa María and Río Cuarto</w:t>
      </w:r>
    </w:p>
    <w:p>
      <w:pPr>
        <w:numPr>
          <w:ilvl w:val="0"/>
          <w:numId w:val="1001"/>
        </w:numPr>
        <w:pStyle w:val="Compact"/>
      </w:pPr>
      <w:r>
        <w:rPr>
          <w:bCs/>
          <w:b/>
        </w:rPr>
        <w:t xml:space="preserve">Agro-Processing Sector:</w:t>
      </w:r>
      <w:r>
        <w:t xml:space="preserve"> </w:t>
      </w:r>
      <w:r>
        <w:t xml:space="preserve">31% (ARS 58.1M), particularly strong in soybean and meat processing exports from Colón and Marcos Juárez</w:t>
      </w:r>
    </w:p>
    <w:p>
      <w:pPr>
        <w:numPr>
          <w:ilvl w:val="0"/>
          <w:numId w:val="1001"/>
        </w:numPr>
        <w:pStyle w:val="Compact"/>
      </w:pPr>
      <w:r>
        <w:rPr>
          <w:bCs/>
          <w:b/>
        </w:rPr>
        <w:t xml:space="preserve">Retail &amp; Consumer Goods:</w:t>
      </w:r>
      <w:r>
        <w:t xml:space="preserve"> </w:t>
      </w:r>
      <w:r>
        <w:t xml:space="preserve">27% (ARS 50.7M), with premium appliance sales surging in Cordoba City's high-demand zones</w:t>
      </w:r>
    </w:p>
    <w:p>
      <w:pPr>
        <w:pStyle w:val="FirstParagraph"/>
      </w:pPr>
      <w:r>
        <w:t xml:space="preserve">Notably, our Accountant team identified a 19% year-over-year increase in B2B contracts within Cordoba's industrial corridors – directly contributing to higher-margin revenue streams. This growth was meticulously tracked through our localized accounting software (SAP Argentina Edition) configured for Cordoba's</w:t>
      </w:r>
      <w:r>
        <w:t xml:space="preserve"> </w:t>
      </w:r>
      <w:r>
        <w:rPr>
          <w:iCs/>
          <w:i/>
        </w:rPr>
        <w:t xml:space="preserve">Provincia de Córdoba</w:t>
      </w:r>
      <w:r>
        <w:t xml:space="preserve"> </w:t>
      </w:r>
      <w:r>
        <w:t xml:space="preserve">tax jurisdiction requirements.</w:t>
      </w:r>
    </w:p>
    <w:bookmarkEnd w:id="21"/>
    <w:bookmarkStart w:id="22" w:name="X46775a4347dd8bf92fd76ca2e7cbadd3fa7cb8b"/>
    <w:p>
      <w:pPr>
        <w:pStyle w:val="Heading2"/>
      </w:pPr>
      <w:r>
        <w:t xml:space="preserve">III. Accountant Department: Critical Compliance &amp; Reporting Functions</w:t>
      </w:r>
    </w:p>
    <w:p>
      <w:pPr>
        <w:pStyle w:val="FirstParagraph"/>
      </w:pPr>
      <w:r>
        <w:t xml:space="preserve">The Accountant team in Argentina Cordoba executed 14,378 transactions with zero compliance discrepancies during Q3 – a 98.6% accuracy rate validated against the Argentine Federal Administration of Public Revenue (AFIP) standards. Key contributions included:</w:t>
      </w:r>
    </w:p>
    <w:p>
      <w:pPr>
        <w:numPr>
          <w:ilvl w:val="0"/>
          <w:numId w:val="1002"/>
        </w:numPr>
        <w:pStyle w:val="Compact"/>
      </w:pPr>
      <w:r>
        <w:rPr>
          <w:bCs/>
          <w:b/>
        </w:rPr>
        <w:t xml:space="preserve">IVA Tax Reconciliation:</w:t>
      </w:r>
      <w:r>
        <w:t xml:space="preserve"> </w:t>
      </w:r>
      <w:r>
        <w:t xml:space="preserve">Automated processing of 12,045 invoices for Cordoba-based clients, ensuring adherence to the province's 21% IVA rate and timely submissions to AFIP</w:t>
      </w:r>
    </w:p>
    <w:p>
      <w:pPr>
        <w:numPr>
          <w:ilvl w:val="0"/>
          <w:numId w:val="1002"/>
        </w:numPr>
        <w:pStyle w:val="Compact"/>
      </w:pPr>
      <w:r>
        <w:rPr>
          <w:bCs/>
          <w:b/>
        </w:rPr>
        <w:t xml:space="preserve">Ganancias Tax Compliance:</w:t>
      </w:r>
      <w:r>
        <w:t xml:space="preserve"> </w:t>
      </w:r>
      <w:r>
        <w:t xml:space="preserve">Preparing quarterly</w:t>
      </w:r>
      <w:r>
        <w:t xml:space="preserve"> </w:t>
      </w:r>
      <w:r>
        <w:rPr>
          <w:iCs/>
          <w:i/>
        </w:rPr>
        <w:t xml:space="preserve">Impuesto a las Ganancias</w:t>
      </w:r>
      <w:r>
        <w:t xml:space="preserve"> </w:t>
      </w:r>
      <w:r>
        <w:t xml:space="preserve">filings for 376 local clients in compliance with Cordoba's provincial regulations, avoiding potential penalties of up to 25% of reported revenue</w:t>
      </w:r>
    </w:p>
    <w:p>
      <w:pPr>
        <w:numPr>
          <w:ilvl w:val="0"/>
          <w:numId w:val="1002"/>
        </w:numPr>
        <w:pStyle w:val="Compact"/>
      </w:pPr>
      <w:r>
        <w:rPr>
          <w:bCs/>
          <w:b/>
        </w:rPr>
        <w:t xml:space="preserve">Cordoba-Specific Reporting:</w:t>
      </w:r>
      <w:r>
        <w:t xml:space="preserve"> </w:t>
      </w:r>
      <w:r>
        <w:t xml:space="preserve">Generating customized sales dashboards showing regional performance against the</w:t>
      </w:r>
      <w:r>
        <w:t xml:space="preserve"> </w:t>
      </w:r>
      <w:r>
        <w:rPr>
          <w:iCs/>
          <w:i/>
        </w:rPr>
        <w:t xml:space="preserve">Plan Estratégico de Desarrollo Productivo de Córdoba</w:t>
      </w:r>
      <w:r>
        <w:t xml:space="preserve">, highlighting growth in industrial zones like Santa María and La Calera</w:t>
      </w:r>
    </w:p>
    <w:p>
      <w:pPr>
        <w:pStyle w:val="FirstParagraph"/>
      </w:pPr>
      <w:r>
        <w:t xml:space="preserve">The Accountant division's integration of Argentina's</w:t>
      </w:r>
      <w:r>
        <w:t xml:space="preserve"> </w:t>
      </w:r>
      <w:r>
        <w:rPr>
          <w:iCs/>
          <w:i/>
        </w:rPr>
        <w:t xml:space="preserve">Registro Único de Proveedores (RUP)</w:t>
      </w:r>
      <w:r>
        <w:t xml:space="preserve"> </w:t>
      </w:r>
      <w:r>
        <w:t xml:space="preserve">database with our CRM system reduced invoice processing time by 32% – a critical efficiency gain for Cordoba's high-volume commercial environment.</w:t>
      </w:r>
    </w:p>
    <w:bookmarkEnd w:id="22"/>
    <w:bookmarkStart w:id="23" w:name="X04caa8aff05472ec6eb26168c9d16a9ffa20a32"/>
    <w:p>
      <w:pPr>
        <w:pStyle w:val="Heading2"/>
      </w:pPr>
      <w:r>
        <w:t xml:space="preserve">IV. Challenges &amp; Accountant-Driven Solutions</w:t>
      </w:r>
    </w:p>
    <w:p>
      <w:pPr>
        <w:pStyle w:val="FirstParagraph"/>
      </w:pPr>
      <w:r>
        <w:t xml:space="preserve">Q3 presented unique challenges in Argentina Cordoba, which our Accountant team mitigated through specialized expertise: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w:t>
            </w:r>
          </w:p>
        </w:tc>
        <w:tc>
          <w:tcPr/>
          <w:p>
            <w:pPr>
              <w:pStyle w:val="Compact"/>
              <w:jc w:val="left"/>
            </w:pPr>
            <w:r>
              <w:t xml:space="preserve">Accountant Solution</w:t>
            </w:r>
          </w:p>
        </w:tc>
      </w:tr>
      <w:tr>
        <w:tc>
          <w:tcPr/>
          <w:p>
            <w:pPr>
              <w:pStyle w:val="Compact"/>
              <w:jc w:val="left"/>
            </w:pPr>
            <w:r>
              <w:t xml:space="preserve">Complex Cordoba Provincial Tax Code Updates (June 2023)</w:t>
            </w:r>
          </w:p>
        </w:tc>
        <w:tc>
          <w:tcPr/>
          <w:p>
            <w:pPr>
              <w:pStyle w:val="Compact"/>
              <w:jc w:val="left"/>
            </w:pPr>
            <w:r>
              <w:t xml:space="preserve">Potential 15% compliance risk for all local clients</w:t>
            </w:r>
          </w:p>
        </w:tc>
        <w:tc>
          <w:tcPr/>
          <w:p>
            <w:pPr>
              <w:pStyle w:val="Compact"/>
              <w:jc w:val="left"/>
            </w:pPr>
            <w:r>
              <w:t xml:space="preserve">Developed Cordoba-specific tax training modules; implemented automated code update alerts in accounting systems</w:t>
            </w:r>
          </w:p>
        </w:tc>
      </w:tr>
      <w:tr>
        <w:tc>
          <w:tcPr/>
          <w:p>
            <w:pPr>
              <w:pStyle w:val="Compact"/>
              <w:jc w:val="left"/>
            </w:pPr>
            <w:r>
              <w:t xml:space="preserve">High Inflation Rate (90.3% YoY)</w:t>
            </w:r>
          </w:p>
        </w:tc>
        <w:tc>
          <w:tcPr/>
          <w:p>
            <w:pPr>
              <w:pStyle w:val="Compact"/>
              <w:jc w:val="left"/>
            </w:pPr>
            <w:r>
              <w:t xml:space="preserve">Revenue misreporting risk in dynamic pricing environments</w:t>
            </w:r>
          </w:p>
        </w:tc>
        <w:tc>
          <w:tcPr/>
          <w:p>
            <w:pPr>
              <w:pStyle w:val="Compact"/>
              <w:jc w:val="left"/>
            </w:pPr>
            <w:r>
              <w:t xml:space="preserve">Implemented daily AFIP-validated exchange rate protocols for all Cordoba transactions; introduced inflation-adjusted revenue forecasting</w:t>
            </w:r>
          </w:p>
        </w:tc>
      </w:tr>
      <w:tr>
        <w:tc>
          <w:tcPr/>
          <w:p>
            <w:pPr>
              <w:pStyle w:val="Compact"/>
              <w:jc w:val="left"/>
            </w:pPr>
            <w:r>
              <w:t xml:space="preserve">New Argentina Consumer Protection Laws (Ley 27.541)</w:t>
            </w:r>
          </w:p>
        </w:tc>
        <w:tc>
          <w:tcPr/>
          <w:p>
            <w:pPr>
              <w:pStyle w:val="Compact"/>
              <w:jc w:val="left"/>
            </w:pPr>
            <w:r>
              <w:t xml:space="preserve">Required real-time sales data accessibility for Cordoba regulators</w:t>
            </w:r>
          </w:p>
        </w:tc>
        <w:tc>
          <w:tcPr/>
          <w:p>
            <w:pPr>
              <w:pStyle w:val="Compact"/>
              <w:jc w:val="left"/>
            </w:pPr>
            <w:r>
              <w:t xml:space="preserve">Integrated Sales Report portal with Cordoba's Secretaría de Comercio for instant regulatory access</w:t>
            </w:r>
          </w:p>
        </w:tc>
      </w:tr>
    </w:tbl>
    <w:bookmarkEnd w:id="23"/>
    <w:bookmarkStart w:id="24" w:name="X7d0fc1616d29ca52c37feefd3173d428d6762e7"/>
    <w:p>
      <w:pPr>
        <w:pStyle w:val="Heading2"/>
      </w:pPr>
      <w:r>
        <w:t xml:space="preserve">V. Sales Strategy Recommendations from Accountant Perspective</w:t>
      </w:r>
    </w:p>
    <w:p>
      <w:pPr>
        <w:pStyle w:val="FirstParagraph"/>
      </w:pPr>
      <w:r>
        <w:t xml:space="preserve">Based on our Argentina Cordoba sales data analysis, the Accountant team proposes three strategic actions:</w:t>
      </w:r>
    </w:p>
    <w:p>
      <w:pPr>
        <w:numPr>
          <w:ilvl w:val="0"/>
          <w:numId w:val="1003"/>
        </w:numPr>
        <w:pStyle w:val="Compact"/>
      </w:pPr>
      <w:r>
        <w:rPr>
          <w:bCs/>
          <w:b/>
        </w:rPr>
        <w:t xml:space="preserve">Target Industrial Corridors:</w:t>
      </w:r>
      <w:r>
        <w:t xml:space="preserve"> </w:t>
      </w:r>
      <w:r>
        <w:t xml:space="preserve">Allocate 25% more sales resources to Córdoba's industrial parks (San Justo, Villa Allende) where IVA tax efficiency creates 18% higher gross margins versus retail zones</w:t>
      </w:r>
    </w:p>
    <w:p>
      <w:pPr>
        <w:numPr>
          <w:ilvl w:val="0"/>
          <w:numId w:val="1003"/>
        </w:numPr>
        <w:pStyle w:val="Compact"/>
      </w:pPr>
      <w:r>
        <w:rPr>
          <w:bCs/>
          <w:b/>
        </w:rPr>
        <w:t xml:space="preserve">Cordoba Digital Tax Integration:</w:t>
      </w:r>
      <w:r>
        <w:t xml:space="preserve"> </w:t>
      </w:r>
      <w:r>
        <w:t xml:space="preserve">Partner with AFIP's new</w:t>
      </w:r>
      <w:r>
        <w:t xml:space="preserve"> </w:t>
      </w:r>
      <w:r>
        <w:rPr>
          <w:iCs/>
          <w:i/>
        </w:rPr>
        <w:t xml:space="preserve">Sistema de Facturación Electrónica para Córdoba</w:t>
      </w:r>
      <w:r>
        <w:t xml:space="preserve"> </w:t>
      </w:r>
      <w:r>
        <w:t xml:space="preserve">to reduce invoice processing time from 72 to 8 hours for local clients, directly increasing sales team productivity by 15%</w:t>
      </w:r>
    </w:p>
    <w:p>
      <w:pPr>
        <w:numPr>
          <w:ilvl w:val="0"/>
          <w:numId w:val="1003"/>
        </w:numPr>
        <w:pStyle w:val="Compact"/>
      </w:pPr>
      <w:r>
        <w:rPr>
          <w:bCs/>
          <w:b/>
        </w:rPr>
        <w:t xml:space="preserve">Provincial Incentive Leveraging:</w:t>
      </w:r>
      <w:r>
        <w:t xml:space="preserve"> </w:t>
      </w:r>
      <w:r>
        <w:t xml:space="preserve">Utilize Cordoba's</w:t>
      </w:r>
      <w:r>
        <w:t xml:space="preserve"> </w:t>
      </w:r>
      <w:r>
        <w:rPr>
          <w:iCs/>
          <w:i/>
        </w:rPr>
        <w:t xml:space="preserve">Bono Productivo</w:t>
      </w:r>
      <w:r>
        <w:t xml:space="preserve"> </w:t>
      </w:r>
      <w:r>
        <w:t xml:space="preserve">tax incentives for agro-industrial clients – our Accountant analysis shows these can reduce client acquisition costs by 22% in soy processing hubs</w:t>
      </w:r>
    </w:p>
    <w:bookmarkEnd w:id="24"/>
    <w:bookmarkStart w:id="26" w:name="X727e78d450cb5875d0f077c422777c87448a0c3"/>
    <w:p>
      <w:pPr>
        <w:pStyle w:val="Heading2"/>
      </w:pPr>
      <w:r>
        <w:t xml:space="preserve">VI. Conclusion: The Accountant as Strategic Sales Partner</w:t>
      </w:r>
    </w:p>
    <w:p>
      <w:pPr>
        <w:pStyle w:val="FirstParagraph"/>
      </w:pPr>
      <w:r>
        <w:t xml:space="preserve">This Sales Report underscores that in the complex Argentine economic landscape of Cordoba, the Accountant department is no longer a back-office function – it is a strategic growth driver. Our Cordoba-based Accountants achieved 97% on-time tax compliance while generating actionable sales intelligence through their mastery of Argentina's evolving fiscal environment. As the province continues to position itself as Argentina's manufacturing leader with initiatives like</w:t>
      </w:r>
      <w:r>
        <w:t xml:space="preserve"> </w:t>
      </w:r>
      <w:r>
        <w:rPr>
          <w:iCs/>
          <w:i/>
        </w:rPr>
        <w:t xml:space="preserve">Plan Córdoba Crecimiento</w:t>
      </w:r>
      <w:r>
        <w:t xml:space="preserve">, our Accountant team will remain central to translating commercial activity into compliant, sustainable revenue streams.</w:t>
      </w:r>
    </w:p>
    <w:p>
      <w:pPr>
        <w:pStyle w:val="BodyText"/>
      </w:pPr>
      <w:r>
        <w:t xml:space="preserve">The Q3 performance validates that when Sales Reporting systems are deeply integrated with local Argentine tax frameworks and Cordoba-specific business practices, both regulatory risk diminishes while sales visibility and profitability increase. We project that implementing the Accountant-recommended strategies will yield an additional ARS 28.5 million in Q4 revenue from existing Cordoba client base alone.</w:t>
      </w:r>
    </w:p>
    <w:p>
      <w:pPr>
        <w:pStyle w:val="BodyText"/>
      </w:pPr>
      <w:r>
        <w:rPr>
          <w:bCs/>
          <w:b/>
        </w:rPr>
        <w:t xml:space="preserve">Approved By:</w:t>
      </w:r>
      <w:r>
        <w:br/>
      </w:r>
      <w:r>
        <w:t xml:space="preserve">María Sánchez, Regional Financial Controller</w:t>
      </w:r>
      <w:r>
        <w:br/>
      </w:r>
      <w:r>
        <w:t xml:space="preserve">Accountant Department, Córdoba Office</w:t>
      </w:r>
    </w:p>
    <w:bookmarkStart w:id="25" w:name="X527cd72f20eb58551e2056f3390297cd30e54f5"/>
    <w:p>
      <w:pPr>
        <w:pStyle w:val="Heading3"/>
      </w:pPr>
      <w:r>
        <w:t xml:space="preserve">Appendix: Argentina Cordoba Tax Compliance Metrics (Q3 2023)</w:t>
      </w:r>
    </w:p>
    <w:p>
      <w:pPr>
        <w:pStyle w:val="FirstParagraph"/>
      </w:pPr>
      <w:r>
        <w:t xml:space="preserve">Tax Category</w:t>
      </w:r>
    </w:p>
    <w:p>
      <w:pPr>
        <w:pStyle w:val="BodyText"/>
      </w:pPr>
      <w:r>
        <w:t xml:space="preserve">Compliance Rate</w:t>
      </w:r>
    </w:p>
    <w:p>
      <w:pPr>
        <w:pStyle w:val="BodyText"/>
      </w:pPr>
      <w:r>
        <w:t xml:space="preserve">AFIP Penalty Avoidance</w:t>
      </w:r>
    </w:p>
    <w:p>
      <w:pPr>
        <w:pStyle w:val="BodyText"/>
      </w:pPr>
      <w:r>
        <w:t xml:space="preserve">IVA Returns</w:t>
      </w:r>
    </w:p>
    <w:p>
      <w:pPr>
        <w:pStyle w:val="BodyText"/>
      </w:pPr>
      <w:r>
        <w:t xml:space="preserve">100%</w:t>
      </w:r>
    </w:p>
    <w:p>
      <w:pPr>
        <w:pStyle w:val="BodyText"/>
      </w:pPr>
      <w:r>
        <w:t xml:space="preserve">ARS 4.2M (excluded)</w:t>
      </w:r>
    </w:p>
    <w:p>
      <w:pPr>
        <w:pStyle w:val="BodyText"/>
      </w:pPr>
      <w:r>
        <w:t xml:space="preserve">Ganancias Tax Filings</w:t>
      </w:r>
    </w:p>
    <w:p>
      <w:pPr>
        <w:pStyle w:val="BodyText"/>
      </w:pPr>
      <w:r>
        <w:t xml:space="preserve">99.3%</w:t>
      </w:r>
    </w:p>
    <w:p>
      <w:pPr>
        <w:pStyle w:val="BodyText"/>
      </w:pPr>
      <w:r>
        <w:t xml:space="preserve">ARS 1.8M (excluded)</w:t>
      </w:r>
    </w:p>
    <w:p>
      <w:pPr>
        <w:pStyle w:val="BodyText"/>
      </w:pPr>
      <w:r>
        <w:t xml:space="preserve">Cordoba Provincial VAT</w:t>
      </w:r>
    </w:p>
    <w:p>
      <w:pPr>
        <w:pStyle w:val="BodyText"/>
      </w:pPr>
      <w:r>
        <w:t xml:space="preserve">100%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Cordoba Accountant Department</dc:title>
  <dc:creator/>
  <dc:language>en</dc:language>
  <cp:keywords/>
  <dcterms:created xsi:type="dcterms:W3CDTF">2026-06-02T16:16:00Z</dcterms:created>
  <dcterms:modified xsi:type="dcterms:W3CDTF">2026-06-02T16:16:00Z</dcterms:modified>
</cp:coreProperties>
</file>

<file path=docProps/custom.xml><?xml version="1.0" encoding="utf-8"?>
<Properties xmlns="http://schemas.openxmlformats.org/officeDocument/2006/custom-properties" xmlns:vt="http://schemas.openxmlformats.org/officeDocument/2006/docPropsVTypes"/>
</file>