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7" w:name="X3ea7b398005cd9552be4a12bb2b0ef70216d67c"/>
    <w:p>
      <w:pPr>
        <w:pStyle w:val="Heading1"/>
      </w:pPr>
      <w:r>
        <w:t xml:space="preserve">ANNUAL SALES PERFORMANCE REPORT &amp; FINANCIAL ANALYSIS</w:t>
      </w:r>
    </w:p>
    <w:p>
      <w:pPr>
        <w:pStyle w:val="FirstParagraph"/>
      </w:pPr>
      <w:r>
        <w:rPr>
          <w:bCs/>
          <w:b/>
        </w:rPr>
        <w:t xml:space="preserve">Prepared For:</w:t>
      </w:r>
      <w:r>
        <w:t xml:space="preserve"> </w:t>
      </w:r>
      <w:r>
        <w:t xml:space="preserve">Executive Management, Melbourne Business Council</w:t>
      </w:r>
      <w:r>
        <w:br/>
      </w:r>
      <w:r>
        <w:rPr>
          <w:bCs/>
          <w:b/>
        </w:rPr>
        <w:t xml:space="preserve">Date:</w:t>
      </w:r>
      <w:r>
        <w:t xml:space="preserve"> </w:t>
      </w:r>
      <w:r>
        <w:t xml:space="preserve">October 26, 2023</w:t>
      </w:r>
      <w:r>
        <w:br/>
      </w:r>
      <w:r>
        <w:rPr>
          <w:bCs/>
          <w:b/>
        </w:rPr>
        <w:t xml:space="preserve">Prepared By:</w:t>
      </w:r>
      <w:r>
        <w:t xml:space="preserve"> </w:t>
      </w:r>
      <w:r>
        <w:t xml:space="preserve">[Your Name], Senior Accountant (Registered with CPA Australia)</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financial performance of our Melbourne-based operations for the first nine months of 2023. As a dedicated Accountant serving Australia's dynamic business landscape, I have conducted an in-depth analysis of sales data, compliance metrics, and regional market trends specific to Victoria and Melbourne. The report confirms strong growth in core revenue streams (14.7% YoY increase), though margin pressures persist due to rising operational costs across the Greater Melbourne region. Key findings highlight our ability to navigate complex Australian tax regulations while delivering robust sales performance – a critical function where the Accountant role directly supports sustainable business expansion in Melbourne's competitive market.</w:t>
      </w:r>
    </w:p>
    <w:bookmarkEnd w:id="20"/>
    <w:bookmarkStart w:id="22" w:name="X850b7829477f5ce80f8a608f11626c52a135bb7"/>
    <w:p>
      <w:pPr>
        <w:pStyle w:val="Heading2"/>
      </w:pPr>
      <w:r>
        <w:t xml:space="preserve">Key Sales Performance Metrics (January-September 2023)</w:t>
      </w:r>
    </w:p>
    <w:p>
      <w:pPr>
        <w:pStyle w:val="FirstParagraph"/>
      </w:pPr>
      <w:r>
        <w:t xml:space="preserve">The following table summarizes quarterly sales growth, profitability, and key performance indicators aligned with Australian accounting standards (AASB 15) and Melbourne market dynamics: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Total Sales (AUD)</w:t>
            </w:r>
          </w:p>
        </w:tc>
        <w:tc>
          <w:tcPr/>
          <w:p>
            <w:pPr>
              <w:pStyle w:val="Compact"/>
              <w:jc w:val="left"/>
            </w:pPr>
            <w:r>
              <w:t xml:space="preserve">YoY Growth</w:t>
            </w:r>
          </w:p>
        </w:tc>
        <w:tc>
          <w:tcPr/>
          <w:p>
            <w:pPr>
              <w:pStyle w:val="Compact"/>
              <w:jc w:val="left"/>
            </w:pPr>
            <w:r>
              <w:t xml:space="preserve">Gross Profit Margin</w:t>
            </w:r>
          </w:p>
        </w:tc>
        <w:tc>
          <w:tcPr/>
          <w:p>
            <w:pPr>
              <w:pStyle w:val="Compact"/>
              <w:jc w:val="left"/>
            </w:pPr>
            <w:r>
              <w:t xml:space="preserve">Australian GST Collected</w:t>
            </w:r>
          </w:p>
        </w:tc>
      </w:tr>
      <w:tr>
        <w:tc>
          <w:tcPr/>
          <w:p>
            <w:pPr>
              <w:pStyle w:val="Compact"/>
              <w:jc w:val="left"/>
            </w:pPr>
            <w:r>
              <w:t xml:space="preserve">Q1 2023 (Jan-Mar)</w:t>
            </w:r>
          </w:p>
        </w:tc>
        <w:tc>
          <w:tcPr/>
          <w:p>
            <w:pPr>
              <w:pStyle w:val="Compact"/>
              <w:jc w:val="left"/>
            </w:pPr>
            <w:r>
              <w:t xml:space="preserve">$1,845,600</w:t>
            </w:r>
          </w:p>
        </w:tc>
        <w:tc>
          <w:tcPr/>
          <w:p>
            <w:pPr>
              <w:pStyle w:val="Compact"/>
              <w:jc w:val="left"/>
            </w:pPr>
            <w:r>
              <w:t xml:space="preserve">+9.2%</w:t>
            </w:r>
          </w:p>
        </w:tc>
        <w:tc>
          <w:tcPr/>
          <w:p>
            <w:pPr>
              <w:pStyle w:val="Compact"/>
              <w:jc w:val="left"/>
            </w:pPr>
            <w:r>
              <w:t xml:space="preserve">48.7%</w:t>
            </w:r>
          </w:p>
        </w:tc>
        <w:tc>
          <w:tcPr/>
          <w:p>
            <w:pPr>
              <w:pStyle w:val="Compact"/>
              <w:jc w:val="left"/>
            </w:pPr>
            <w:r>
              <w:t xml:space="preserve">$167,782</w:t>
            </w:r>
          </w:p>
        </w:tc>
      </w:tr>
      <w:tr>
        <w:tc>
          <w:tcPr/>
          <w:p>
            <w:pPr>
              <w:pStyle w:val="Compact"/>
              <w:jc w:val="left"/>
            </w:pPr>
            <w:r>
              <w:t xml:space="preserve">Q2 2023 (Apr-Jun)</w:t>
            </w:r>
          </w:p>
        </w:tc>
        <w:tc>
          <w:tcPr/>
          <w:p>
            <w:pPr>
              <w:pStyle w:val="Compact"/>
              <w:jc w:val="left"/>
            </w:pPr>
            <w:r>
              <w:t xml:space="preserve">$1,983,450</w:t>
            </w:r>
          </w:p>
        </w:tc>
        <w:tc>
          <w:tcPr/>
          <w:p>
            <w:pPr>
              <w:pStyle w:val="Compact"/>
              <w:jc w:val="left"/>
            </w:pPr>
            <w:r>
              <w:t xml:space="preserve">+12.4%</w:t>
            </w:r>
          </w:p>
        </w:tc>
        <w:tc>
          <w:tcPr/>
          <w:p>
            <w:pPr>
              <w:pStyle w:val="Compact"/>
              <w:jc w:val="left"/>
            </w:pPr>
            <w:r>
              <w:t xml:space="preserve">46.3%</w:t>
            </w:r>
          </w:p>
        </w:tc>
        <w:tc>
          <w:tcPr/>
          <w:p>
            <w:pPr>
              <w:pStyle w:val="Compact"/>
              <w:jc w:val="left"/>
            </w:pPr>
            <w:r>
              <w:t xml:space="preserve">$180,314</w:t>
            </w:r>
          </w:p>
        </w:tc>
      </w:tr>
      <w:tr>
        <w:tc>
          <w:tcPr/>
          <w:p>
            <w:pPr>
              <w:pStyle w:val="Compact"/>
              <w:jc w:val="left"/>
            </w:pPr>
            <w:r>
              <w:t xml:space="preserve">Q3 2023 (Jul-Sep)</w:t>
            </w:r>
          </w:p>
        </w:tc>
        <w:tc>
          <w:tcPr/>
          <w:p>
            <w:pPr>
              <w:pStyle w:val="Compact"/>
              <w:jc w:val="left"/>
            </w:pPr>
            <w:r>
              <w:t xml:space="preserve">$2,150,875</w:t>
            </w:r>
          </w:p>
        </w:tc>
        <w:tc>
          <w:tcPr/>
          <w:p>
            <w:pPr>
              <w:pStyle w:val="Compact"/>
              <w:jc w:val="left"/>
            </w:pPr>
            <w:r>
              <w:t xml:space="preserve">+16.9%</w:t>
            </w:r>
          </w:p>
        </w:tc>
        <w:tc>
          <w:tcPr/>
          <w:p>
            <w:pPr>
              <w:pStyle w:val="Compact"/>
              <w:jc w:val="left"/>
            </w:pPr>
            <w:r>
              <w:t xml:space="preserve">44.8%</w:t>
            </w:r>
          </w:p>
        </w:tc>
        <w:tc>
          <w:tcPr/>
          <w:p>
            <w:pPr>
              <w:pStyle w:val="Compact"/>
              <w:jc w:val="left"/>
            </w:pPr>
            <w:r>
              <w:t xml:space="preserve">$195,534</w:t>
            </w:r>
          </w:p>
        </w:tc>
      </w:tr>
    </w:tbl>
    <w:bookmarkStart w:id="21" w:name="analysis-of-melbourne-specific-trends"/>
    <w:p>
      <w:pPr>
        <w:pStyle w:val="Heading3"/>
      </w:pPr>
      <w:r>
        <w:t xml:space="preserve">Analysis of Melbourne-Specific Trends</w:t>
      </w:r>
    </w:p>
    <w:p>
      <w:pPr>
        <w:pStyle w:val="FirstParagraph"/>
      </w:pPr>
      <w:r>
        <w:t xml:space="preserve">As an Accountant deeply embedded in the Australia Melbourne business ecosystem, I've identified several critical regional factors influencing our sales trajectory. The Melbourne metropolitan area demonstrated 18.3% higher demand for our premium services compared to national averages, particularly in the Docklands and CBD commercial hubs. However, this growth coincided with a 22% increase in local business operating costs (utilities, staffing), directly impacting gross margins as noted above.</w:t>
      </w:r>
    </w:p>
    <w:p>
      <w:pPr>
        <w:pStyle w:val="BodyText"/>
      </w:pPr>
      <w:r>
        <w:t xml:space="preserve">The sales data reveals strong performance from our technology sector clients (34% of revenue), which aligns with Melbourne's position as Australia's second-largest tech hub. I've reconciled all sales transactions against Australian Taxation Office (ATO) requirements, ensuring 100% compliance with GST reporting deadlines – a non-negotiable aspect for any Accountant operating in Victoria.</w:t>
      </w:r>
    </w:p>
    <w:bookmarkEnd w:id="21"/>
    <w:bookmarkEnd w:id="22"/>
    <w:bookmarkStart w:id="23" w:name="Xd2cee0e415c816ec7e526555ab60587a2b3055e"/>
    <w:p>
      <w:pPr>
        <w:pStyle w:val="Heading2"/>
      </w:pPr>
      <w:r>
        <w:t xml:space="preserve">Financial Compliance &amp; Regulatory Highlights</w:t>
      </w:r>
    </w:p>
    <w:p>
      <w:pPr>
        <w:pStyle w:val="FirstParagraph"/>
      </w:pPr>
      <w:r>
        <w:t xml:space="preserve">In my role as the dedicated Accountant overseeing Melbourne operations, I've prioritized adherence to Australia's complex regulatory framework. Key achievements include:</w:t>
      </w:r>
    </w:p>
    <w:p>
      <w:pPr>
        <w:numPr>
          <w:ilvl w:val="0"/>
          <w:numId w:val="1001"/>
        </w:numPr>
        <w:pStyle w:val="Compact"/>
      </w:pPr>
      <w:r>
        <w:rPr>
          <w:bCs/>
          <w:b/>
        </w:rPr>
        <w:t xml:space="preserve">ATO GST Compliance:</w:t>
      </w:r>
      <w:r>
        <w:t xml:space="preserve"> </w:t>
      </w:r>
      <w:r>
        <w:t xml:space="preserve">All quarterly GST lodgements were submitted accurately and on time for our Melbourne-based entity, avoiding $12,800 in potential penalties. The sales data shows $543,630 collected from customers across Melbourne during the reporting period.</w:t>
      </w:r>
    </w:p>
    <w:p>
      <w:pPr>
        <w:numPr>
          <w:ilvl w:val="0"/>
          <w:numId w:val="1001"/>
        </w:numPr>
        <w:pStyle w:val="Compact"/>
      </w:pPr>
      <w:r>
        <w:rPr>
          <w:bCs/>
          <w:b/>
        </w:rPr>
        <w:t xml:space="preserve">Payroll Tax Management:</w:t>
      </w:r>
      <w:r>
        <w:t xml:space="preserve"> </w:t>
      </w:r>
      <w:r>
        <w:t xml:space="preserve">Successfully managed payroll tax filings for our 47 employees across Melbourne offices under Victorian thresholds (exceeding $1.2m annual payroll), reducing liabilities by $8,500 through strategic salary packaging.</w:t>
      </w:r>
    </w:p>
    <w:p>
      <w:pPr>
        <w:numPr>
          <w:ilvl w:val="0"/>
          <w:numId w:val="1001"/>
        </w:numPr>
        <w:pStyle w:val="Compact"/>
      </w:pPr>
      <w:r>
        <w:rPr>
          <w:bCs/>
          <w:b/>
        </w:rPr>
        <w:t xml:space="preserve">Australian Business Number (ABN) Alignment:</w:t>
      </w:r>
      <w:r>
        <w:t xml:space="preserve"> </w:t>
      </w:r>
      <w:r>
        <w:t xml:space="preserve">Verified all sales invoices and contracts against ABN records per Australian Commercial Law requirements, preventing potential disputes with the ATO.</w:t>
      </w:r>
    </w:p>
    <w:bookmarkEnd w:id="23"/>
    <w:bookmarkStart w:id="24" w:name="Xb7a59aa611a2e1e34a4e7a93fcdda1d6fa185ad"/>
    <w:p>
      <w:pPr>
        <w:pStyle w:val="Heading2"/>
      </w:pPr>
      <w:r>
        <w:t xml:space="preserve">Challenges &amp; Opportunities in Australia Melbourne Market</w:t>
      </w:r>
    </w:p>
    <w:p>
      <w:pPr>
        <w:pStyle w:val="FirstParagraph"/>
      </w:pPr>
      <w:r>
        <w:t xml:space="preserve">The Accountant perspective reveals unique challenges specific to Melbourne's commercial environment. Rising electricity costs (up 15% YoY) and increased competition from Sydney-based firms have compressed our average sale value by 3.7%. However, the recent Victorian Government's "Small Business Support Package" presents an opportunity to offset these pressures through available grants – a key insight I've relayed to senior management for strategic implementation.</w:t>
      </w:r>
    </w:p>
    <w:p>
      <w:pPr>
        <w:pStyle w:val="BodyText"/>
      </w:pPr>
      <w:r>
        <w:t xml:space="preserve">Notably, Melbourne's strong demand for sustainable business practices has driven a 27% increase in sales of our eco-certified services. As Accountant, I've quantified the ROI of these green initiatives, demonstrating how compliance with Australia's National Greenhouse Gas Inventory (NGGI) standards directly enhances client retention in Melbourne.</w:t>
      </w:r>
    </w:p>
    <w:bookmarkEnd w:id="24"/>
    <w:bookmarkStart w:id="25" w:name="strategic-recommendations"/>
    <w:p>
      <w:pPr>
        <w:pStyle w:val="Heading2"/>
      </w:pPr>
      <w:r>
        <w:t xml:space="preserve">Strategic Recommendations</w:t>
      </w:r>
    </w:p>
    <w:p>
      <w:pPr>
        <w:pStyle w:val="FirstParagraph"/>
      </w:pPr>
      <w:r>
        <w:t xml:space="preserve">Based on this Sales Report analysis and my responsibilities as your Melbourne Accountant, I recommend the following actions:</w:t>
      </w:r>
    </w:p>
    <w:p>
      <w:pPr>
        <w:numPr>
          <w:ilvl w:val="0"/>
          <w:numId w:val="1002"/>
        </w:numPr>
        <w:pStyle w:val="Compact"/>
      </w:pPr>
      <w:r>
        <w:rPr>
          <w:bCs/>
          <w:b/>
        </w:rPr>
        <w:t xml:space="preserve">Implement Dynamic Pricing Models:</w:t>
      </w:r>
      <w:r>
        <w:t xml:space="preserve"> </w:t>
      </w:r>
      <w:r>
        <w:t xml:space="preserve">Adjust pricing for Melbourne-based clients to offset 12% of rising operational costs, targeting high-margin services with proven demand in the city.</w:t>
      </w:r>
    </w:p>
    <w:p>
      <w:pPr>
        <w:numPr>
          <w:ilvl w:val="0"/>
          <w:numId w:val="1002"/>
        </w:numPr>
        <w:pStyle w:val="Compact"/>
      </w:pPr>
      <w:r>
        <w:rPr>
          <w:bCs/>
          <w:b/>
        </w:rPr>
        <w:t xml:space="preserve">Leverage Victorian Grants:</w:t>
      </w:r>
      <w:r>
        <w:t xml:space="preserve"> </w:t>
      </w:r>
      <w:r>
        <w:t xml:space="preserve">Apply for the $50,000 Small Business Innovation Grant to fund technology upgrades that reduce manual accounting work (currently consuming 35% of our Accountant's time).</w:t>
      </w:r>
    </w:p>
    <w:p>
      <w:pPr>
        <w:numPr>
          <w:ilvl w:val="0"/>
          <w:numId w:val="1002"/>
        </w:numPr>
        <w:pStyle w:val="Compact"/>
      </w:pPr>
      <w:r>
        <w:rPr>
          <w:bCs/>
          <w:b/>
        </w:rPr>
        <w:t xml:space="preserve">Expand GST Optimization:</w:t>
      </w:r>
      <w:r>
        <w:t xml:space="preserve"> </w:t>
      </w:r>
      <w:r>
        <w:t xml:space="preserve">Introduce pre-paid VAT options for Melbourne clients through ATO-approved mechanisms, potentially increasing cash flow by $42,000 annually.</w:t>
      </w:r>
    </w:p>
    <w:bookmarkEnd w:id="25"/>
    <w:bookmarkStart w:id="26" w:name="conclusion"/>
    <w:p>
      <w:pPr>
        <w:pStyle w:val="Heading2"/>
      </w:pPr>
      <w:r>
        <w:t xml:space="preserve">Conclusion</w:t>
      </w:r>
    </w:p>
    <w:p>
      <w:pPr>
        <w:pStyle w:val="FirstParagraph"/>
      </w:pPr>
      <w:r>
        <w:t xml:space="preserve">This Sales Report underscores the critical synergy between effective financial management and sales performance in Australia Melbourne's competitive market. As your Accountant, I've ensured every sales figure aligns with Australian accounting standards while delivering actionable insights for growth. The 14.7% revenue increase proves our Melbourne operations are thriving, but my analysis confirms that continued success requires proactive compliance navigation and strategic financial planning – the very essence of a professional Accountant's role in Australia.</w:t>
      </w:r>
    </w:p>
    <w:p>
      <w:pPr>
        <w:pStyle w:val="BodyText"/>
      </w:pPr>
      <w:r>
        <w:t xml:space="preserve">The Melbourne business landscape demands more than basic bookkeeping; it requires an Accountant who understands local regulations, market dynamics, and sales performance metrics as interconnected elements. This report demonstrates how integrated financial oversight directly drives sales success in our Victoria operations. I remain committed to providing this level of strategic insight for all Australia Melbourne business needs.</w:t>
      </w:r>
    </w:p>
    <w:p>
      <w:pPr>
        <w:pStyle w:val="BodyText"/>
      </w:pPr>
      <w:r>
        <w:t xml:space="preserve">Report Prepared in Compliance with Australian Accounting Standards (AASB) and CPA Australia Guidelines</w:t>
      </w:r>
    </w:p>
    <w:p>
      <w:pPr>
        <w:pStyle w:val="BodyText"/>
      </w:pPr>
      <w:r>
        <w:t xml:space="preserve">This document is confidential and intended solely for the use of Melbourne-based management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Analysis for Australia Melbourne</dc:title>
  <dc:creator/>
  <dc:language>en</dc:language>
  <cp:keywords/>
  <dcterms:created xsi:type="dcterms:W3CDTF">2026-07-23T04:51:20Z</dcterms:created>
  <dcterms:modified xsi:type="dcterms:W3CDTF">2026-07-23T04:51:20Z</dcterms:modified>
</cp:coreProperties>
</file>

<file path=docProps/custom.xml><?xml version="1.0" encoding="utf-8"?>
<Properties xmlns="http://schemas.openxmlformats.org/officeDocument/2006/custom-properties" xmlns:vt="http://schemas.openxmlformats.org/officeDocument/2006/docPropsVTypes"/>
</file>