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Accountant's</w:t>
      </w:r>
      <w:r>
        <w:t xml:space="preserve"> </w:t>
      </w:r>
      <w:r>
        <w:t xml:space="preserve">Analysis</w:t>
      </w:r>
      <w:r>
        <w:t xml:space="preserve"> </w:t>
      </w:r>
      <w:r>
        <w:t xml:space="preserve">for</w:t>
      </w:r>
      <w:r>
        <w:t xml:space="preserve"> </w:t>
      </w:r>
      <w:r>
        <w:t xml:space="preserve">Bangladesh</w:t>
      </w:r>
      <w:r>
        <w:t xml:space="preserve"> </w:t>
      </w:r>
      <w:r>
        <w:t xml:space="preserve">Dhaka</w:t>
      </w:r>
      <w:r>
        <w:t xml:space="preserve"> </w:t>
      </w:r>
      <w:r>
        <w:t xml:space="preserve">Operations</w:t>
      </w:r>
    </w:p>
    <w:bookmarkStart w:id="29" w:name="X1a90336160b2150827d7f995c7e30ee56cd76bb"/>
    <w:p>
      <w:pPr>
        <w:pStyle w:val="Heading1"/>
      </w:pPr>
      <w:r>
        <w:t xml:space="preserve">Quarterly Sales Performance Report &amp; Financial Analysis: Dhaka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Bangladesh Dhaka Branch</w:t>
      </w:r>
      <w:r>
        <w:br/>
      </w:r>
      <w:r>
        <w:rPr>
          <w:bCs/>
          <w:b/>
        </w:rPr>
        <w:t xml:space="preserve">Prepared By:</w:t>
      </w:r>
      <w:r>
        <w:t xml:space="preserve"> </w:t>
      </w:r>
      <w:r>
        <w:t xml:space="preserve">Accounting Department (Senior Accountant)</w:t>
      </w:r>
    </w:p>
    <w:bookmarkStart w:id="20" w:name="i.-executive-summary"/>
    <w:p>
      <w:pPr>
        <w:pStyle w:val="Heading2"/>
      </w:pPr>
      <w:r>
        <w:t xml:space="preserve">I. Executive Summary</w:t>
      </w:r>
    </w:p>
    <w:p>
      <w:pPr>
        <w:pStyle w:val="FirstParagraph"/>
      </w:pPr>
      <w:r>
        <w:t xml:space="preserve">This comprehensive Sales Report presents a detailed financial analysis of our sales performance across the Dhaka metropolitan region during Q3 2023 (July-September). As the dedicated Accountant for Bangladesh Dhaka operations, I have meticulously reviewed all revenue streams, cost structures, and market dynamics to provide actionable insights. Despite significant challenges in Bangladesh's competitive retail landscape, our Dhaka branch achieved a 14.7% year-over-year sales growth, demonstrating resilience against economic headwinds. This report serves as a critical financial foundation for strategic planning and operational adjustments within the Bangladesh Dhaka business ecosystem.</w:t>
      </w:r>
    </w:p>
    <w:bookmarkEnd w:id="20"/>
    <w:bookmarkStart w:id="21" w:name="X523f9bb9a0295a2192713ce9484f6f05ad505fe"/>
    <w:p>
      <w:pPr>
        <w:pStyle w:val="Heading2"/>
      </w:pPr>
      <w:r>
        <w:t xml:space="preserve">II. Sales Performance Overview (Dhaka Metropolitan Area)</w:t>
      </w:r>
    </w:p>
    <w:p>
      <w:pPr>
        <w:pStyle w:val="FirstParagraph"/>
      </w:pPr>
      <w:r>
        <w:t xml:space="preserve">The Bangladesh Dhaka market contributed 38% of our national sales revenue during Q3, totaling BDT 147.8 million (USD 1.56 million). Key highlights include:</w:t>
      </w:r>
    </w:p>
    <w:p>
      <w:pPr>
        <w:numPr>
          <w:ilvl w:val="0"/>
          <w:numId w:val="1001"/>
        </w:numPr>
        <w:pStyle w:val="Compact"/>
      </w:pPr>
      <w:r>
        <w:rPr>
          <w:bCs/>
          <w:b/>
        </w:rPr>
        <w:t xml:space="preserve">Product Category Growth:</w:t>
      </w:r>
      <w:r>
        <w:t xml:space="preserve"> </w:t>
      </w:r>
      <w:r>
        <w:t xml:space="preserve">Electronics segment surged by 22% (BDT 58.4M) driven by mobile phone sales during Eid season, while apparel recorded modest growth at 7.3% (BDT 39.2M).</w:t>
      </w:r>
    </w:p>
    <w:p>
      <w:pPr>
        <w:numPr>
          <w:ilvl w:val="0"/>
          <w:numId w:val="1001"/>
        </w:numPr>
        <w:pStyle w:val="Compact"/>
      </w:pPr>
      <w:r>
        <w:rPr>
          <w:bCs/>
          <w:b/>
        </w:rPr>
        <w:t xml:space="preserve">Dhaka District Performance:</w:t>
      </w:r>
      <w:r>
        <w:t xml:space="preserve"> </w:t>
      </w:r>
      <w:r>
        <w:t xml:space="preserve">Dhaka City achieved BDT 92.1M in sales (62% of total Dhaka), while suburban districts contributed BDT 55.7M, showing strong penetration beyond the central business district.</w:t>
      </w:r>
    </w:p>
    <w:p>
      <w:pPr>
        <w:numPr>
          <w:ilvl w:val="0"/>
          <w:numId w:val="1001"/>
        </w:numPr>
        <w:pStyle w:val="Compact"/>
      </w:pPr>
      <w:r>
        <w:rPr>
          <w:bCs/>
          <w:b/>
        </w:rPr>
        <w:t xml:space="preserve">Channel Analysis:</w:t>
      </w:r>
      <w:r>
        <w:t xml:space="preserve"> </w:t>
      </w:r>
      <w:r>
        <w:t xml:space="preserve">E-commerce sales grew by 34% (BDT 42.3M) – a critical trend requiring deeper accounting oversight given Bangladesh's rapidly evolving digital payment infrastructure.</w:t>
      </w:r>
    </w:p>
    <w:bookmarkEnd w:id="21"/>
    <w:bookmarkStart w:id="25" w:name="X61fdfad5c0e8d64819494f999e94d9f41cbfc96"/>
    <w:p>
      <w:pPr>
        <w:pStyle w:val="Heading2"/>
      </w:pPr>
      <w:r>
        <w:t xml:space="preserve">III. Financial Analysis &amp; Accountant's Key Observations</w:t>
      </w:r>
    </w:p>
    <w:p>
      <w:pPr>
        <w:pStyle w:val="FirstParagraph"/>
      </w:pPr>
      <w:r>
        <w:t xml:space="preserve">As the primary Accountant responsible for Dhaka operations, I identified three critical financial patterns:</w:t>
      </w:r>
    </w:p>
    <w:bookmarkStart w:id="22" w:name="Xf7f3d8f8de1e4efd359de0f239c0d0f52bf299a"/>
    <w:p>
      <w:pPr>
        <w:pStyle w:val="Heading3"/>
      </w:pPr>
      <w:r>
        <w:t xml:space="preserve">A. Margin Pressure from Supply Chain Disruptions</w:t>
      </w:r>
    </w:p>
    <w:p>
      <w:pPr>
        <w:pStyle w:val="FirstParagraph"/>
      </w:pPr>
      <w:r>
        <w:t xml:space="preserve">Our gross margins declined by 4.2% (to 31.8%) compared to Q2, directly linked to port congestion at Chittagong and rising fuel costs affecting Dhaka delivery logistics. The Accountant's analysis confirms that these external factors – common challenges in Bangladesh's supply chain landscape – reduced profitability despite higher sales volume. I recommend negotiating fixed-rate contracts with local logistics partners for Q4.</w:t>
      </w:r>
    </w:p>
    <w:bookmarkEnd w:id="22"/>
    <w:bookmarkStart w:id="23" w:name="X477b3e4906041e9f95b974db778b0083228f9f2"/>
    <w:p>
      <w:pPr>
        <w:pStyle w:val="Heading3"/>
      </w:pPr>
      <w:r>
        <w:t xml:space="preserve">B. Tax Compliance Challenges in Bangladesh Dhaka</w:t>
      </w:r>
    </w:p>
    <w:p>
      <w:pPr>
        <w:pStyle w:val="FirstParagraph"/>
      </w:pPr>
      <w:r>
        <w:t xml:space="preserve">Value Added Tax (VAT) processing discrepancies accounted for 8.7% of accounts receivable delays. The Accountant noted that many Dhaka-based small businesses still operate informally, causing payment delays and reconciliation complexities under Bangladesh's VAT Act. This requires urgent attention during our quarterly tax filing in Dhaka.</w:t>
      </w:r>
    </w:p>
    <w:bookmarkEnd w:id="23"/>
    <w:bookmarkStart w:id="24" w:name="X83b9931e7e78ce9a8ac3407feb2d5685dfdf7e8"/>
    <w:p>
      <w:pPr>
        <w:pStyle w:val="Heading3"/>
      </w:pPr>
      <w:r>
        <w:t xml:space="preserve">C. Digital Payment Adoption &amp; Financial Reporting</w:t>
      </w:r>
    </w:p>
    <w:p>
      <w:pPr>
        <w:pStyle w:val="FirstParagraph"/>
      </w:pPr>
      <w:r>
        <w:t xml:space="preserve">Mobile financial services (bKash, Nagad) now account for 63% of Dhaka sales transactions – a shift requiring specialized accounting protocols. As the designated Accountant, I've implemented new reconciliation workflows to align with Bangladesh Bank's 2023 digital payment reporting guidelines. This ensures our Sales Report accurately reflects the true financial position amid Bangladesh's fintech revolution.</w:t>
      </w:r>
    </w:p>
    <w:bookmarkEnd w:id="24"/>
    <w:bookmarkEnd w:id="25"/>
    <w:bookmarkStart w:id="26" w:name="X42f9458bfa368ee18895c6bd082ee5b567cb4b3"/>
    <w:p>
      <w:pPr>
        <w:pStyle w:val="Heading2"/>
      </w:pPr>
      <w:r>
        <w:t xml:space="preserve">IV. Dhaka-Specific Market Challenges (Accountant's Perspective)</w:t>
      </w:r>
    </w:p>
    <w:p>
      <w:pPr>
        <w:pStyle w:val="FirstParagraph"/>
      </w:pPr>
      <w:r>
        <w:t xml:space="preserve">Our Sales Report must address unique Bangladesh Dhaka operational realities:</w:t>
      </w:r>
    </w:p>
    <w:p>
      <w:pPr>
        <w:numPr>
          <w:ilvl w:val="0"/>
          <w:numId w:val="1002"/>
        </w:numPr>
        <w:pStyle w:val="Compact"/>
      </w:pPr>
      <w:r>
        <w:rPr>
          <w:bCs/>
          <w:b/>
        </w:rPr>
        <w:t xml:space="preserve">Infrastructure Constraints:</w:t>
      </w:r>
      <w:r>
        <w:t xml:space="preserve"> </w:t>
      </w:r>
      <w:r>
        <w:t xml:space="preserve">Traffic congestion in Dhaka delays 40% of last-mile deliveries, inflating cost-per-transaction by 18% (verified via our logistics cost ledger). The Accountant's data shows this directly impacts quarterly profitability metrics.</w:t>
      </w:r>
    </w:p>
    <w:p>
      <w:pPr>
        <w:numPr>
          <w:ilvl w:val="0"/>
          <w:numId w:val="1002"/>
        </w:numPr>
        <w:pStyle w:val="Compact"/>
      </w:pPr>
      <w:r>
        <w:rPr>
          <w:bCs/>
          <w:b/>
        </w:rPr>
        <w:t xml:space="preserve">Seasonal Demand Spikes:</w:t>
      </w:r>
      <w:r>
        <w:t xml:space="preserve"> </w:t>
      </w:r>
      <w:r>
        <w:t xml:space="preserve">Ramadan and Eid seasons generate 35% of annual sales but require pre-season cash reserves. Our current working capital model lacks Dhaka-specific seasonal buffers, risking liquidity during peak periods.</w:t>
      </w:r>
    </w:p>
    <w:p>
      <w:pPr>
        <w:numPr>
          <w:ilvl w:val="0"/>
          <w:numId w:val="1002"/>
        </w:numPr>
        <w:pStyle w:val="Compact"/>
      </w:pPr>
      <w:r>
        <w:rPr>
          <w:bCs/>
          <w:b/>
        </w:rPr>
        <w:t xml:space="preserve">Competitive Landscape:</w:t>
      </w:r>
      <w:r>
        <w:t xml:space="preserve"> </w:t>
      </w:r>
      <w:r>
        <w:t xml:space="preserve">Local competitors in Dhaka offer 10-15% lower prices on key electronics – a pricing pressure we must monitor through our Accountant's monthly competitive benchmarking report.</w:t>
      </w:r>
    </w:p>
    <w:bookmarkEnd w:id="26"/>
    <w:bookmarkStart w:id="27" w:name="X6dd1fe9a70b1b9540f44efc10507fe65574816b"/>
    <w:p>
      <w:pPr>
        <w:pStyle w:val="Heading2"/>
      </w:pPr>
      <w:r>
        <w:t xml:space="preserve">V. Recommendations for Bangladesh Dhaka Operations</w:t>
      </w:r>
    </w:p>
    <w:p>
      <w:pPr>
        <w:pStyle w:val="FirstParagraph"/>
      </w:pPr>
      <w:r>
        <w:t xml:space="preserve">Based on this Sales Report analysis, I propose the following action items:</w:t>
      </w:r>
    </w:p>
    <w:p>
      <w:pPr>
        <w:numPr>
          <w:ilvl w:val="0"/>
          <w:numId w:val="1003"/>
        </w:numPr>
        <w:pStyle w:val="Compact"/>
      </w:pPr>
      <w:r>
        <w:rPr>
          <w:bCs/>
          <w:b/>
        </w:rPr>
        <w:t xml:space="preserve">Establish Dhaka Regional Finance Hub:</w:t>
      </w:r>
      <w:r>
        <w:t xml:space="preserve"> </w:t>
      </w:r>
      <w:r>
        <w:t xml:space="preserve">Centralize accounting for all Dhaka outlets to reduce reporting delays (currently 7-10 days post-month-end) and improve real-time sales tracking for Bangladesh operations.</w:t>
      </w:r>
    </w:p>
    <w:p>
      <w:pPr>
        <w:numPr>
          <w:ilvl w:val="0"/>
          <w:numId w:val="1003"/>
        </w:numPr>
        <w:pStyle w:val="Compact"/>
      </w:pPr>
      <w:r>
        <w:rPr>
          <w:bCs/>
          <w:b/>
        </w:rPr>
        <w:t xml:space="preserve">Implement Dynamic Pricing Analytics:</w:t>
      </w:r>
      <w:r>
        <w:t xml:space="preserve"> </w:t>
      </w:r>
      <w:r>
        <w:t xml:space="preserve">Leverage our Sales Report data to develop AI-driven pricing models that adjust to Dhaka's competitive dynamics, protecting margins without losing market share.</w:t>
      </w:r>
    </w:p>
    <w:p>
      <w:pPr>
        <w:numPr>
          <w:ilvl w:val="0"/>
          <w:numId w:val="1003"/>
        </w:numPr>
        <w:pStyle w:val="Compact"/>
      </w:pPr>
      <w:r>
        <w:rPr>
          <w:bCs/>
          <w:b/>
        </w:rPr>
        <w:t xml:space="preserve">Enhance VAT Compliance Protocol:</w:t>
      </w:r>
      <w:r>
        <w:t xml:space="preserve"> </w:t>
      </w:r>
      <w:r>
        <w:t xml:space="preserve">Work with Bangladesh Tax Authority (NBR) on a dedicated Dhaka branch compliance plan addressing common VAT errors in the region, reducing payment disputes by 25% as projected.</w:t>
      </w:r>
    </w:p>
    <w:p>
      <w:pPr>
        <w:numPr>
          <w:ilvl w:val="0"/>
          <w:numId w:val="1003"/>
        </w:numPr>
        <w:pStyle w:val="Compact"/>
      </w:pPr>
      <w:r>
        <w:rPr>
          <w:bCs/>
          <w:b/>
        </w:rPr>
        <w:t xml:space="preserve">Optimize E-commerce Fulfillment:</w:t>
      </w:r>
      <w:r>
        <w:t xml:space="preserve"> </w:t>
      </w:r>
      <w:r>
        <w:t xml:space="preserve">Partner with local Dhaka logistics firms for same-day delivery subscriptions, targeting the growing urban consumer segment that accounts for 68% of our digital sales.</w:t>
      </w:r>
    </w:p>
    <w:bookmarkEnd w:id="27"/>
    <w:bookmarkStart w:id="28" w:name="X2de5072c1bb5b73c8ecc2c0484feda775689096"/>
    <w:p>
      <w:pPr>
        <w:pStyle w:val="Heading2"/>
      </w:pPr>
      <w:r>
        <w:t xml:space="preserve">VI. Conclusion: Strategic Financial Outlook</w:t>
      </w:r>
    </w:p>
    <w:p>
      <w:pPr>
        <w:pStyle w:val="FirstParagraph"/>
      </w:pPr>
      <w:r>
        <w:t xml:space="preserve">This Sales Report underscores that while Bangladesh Dhaka remains our most valuable market (contributing 38% of national revenue), its unique operational environment demands specialized accounting approaches. The Accountant's role has evolved from mere transaction recording to strategic financial stewardship – ensuring our sales performance translates into sustainable profitability within Bangladesh's complex business ecosystem.</w:t>
      </w:r>
    </w:p>
    <w:p>
      <w:pPr>
        <w:pStyle w:val="BodyText"/>
      </w:pPr>
      <w:r>
        <w:t xml:space="preserve">As the Dhaka branch continues to navigate challenges like inflation (8.9% YoY), regulatory shifts, and infrastructure limitations, this Sales Report provides the critical financial foundation for data-driven decisions. I recommend approving the proposed Dhaka Regional Finance Hub by November 15, 2023, to align our accounting practices with Bangladesh's rapidly changing commercial landscape.</w:t>
      </w:r>
    </w:p>
    <w:p>
      <w:pPr>
        <w:pStyle w:val="BodyText"/>
      </w:pPr>
      <w:r>
        <w:t xml:space="preserve">With disciplined financial management as guided by this report, we project 18-20% sales growth for Dhaka in Q4 2023 – exceeding the national average. The Accountant remains committed to refining this Sales Report framework to reflect Bangladesh Dhaka's evolving market dynamics with greater precision.</w:t>
      </w:r>
    </w:p>
    <w:p>
      <w:pPr>
        <w:pStyle w:val="BodyText"/>
      </w:pPr>
      <w:r>
        <w:rPr>
          <w:bCs/>
          <w:b/>
        </w:rPr>
        <w:t xml:space="preserve">Prepared by:</w:t>
      </w:r>
      <w:r>
        <w:t xml:space="preserve"> </w:t>
      </w:r>
      <w:r>
        <w:t xml:space="preserve">Anika Rahman, Senior Accountant (Bangladesh Dhaka Operations)</w:t>
      </w:r>
      <w:r>
        <w:br/>
      </w:r>
      <w:r>
        <w:rPr>
          <w:bCs/>
          <w:b/>
        </w:rPr>
        <w:t xml:space="preserve">Contact:</w:t>
      </w:r>
      <w:r>
        <w:t xml:space="preserve"> </w:t>
      </w:r>
      <w:r>
        <w:t xml:space="preserve">arahman@company.com | +880-1712-345678</w:t>
      </w:r>
      <w:r>
        <w:br/>
      </w:r>
      <w:r>
        <w:rPr>
          <w:iCs/>
          <w:i/>
        </w:rPr>
        <w:t xml:space="preserve">This Sales Report complies with Bangladesh Accounting Standards (BAS) and Income Tax Ordinance 2019.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Accountant's Analysis for Bangladesh Dhaka Operations</dc:title>
  <dc:creator/>
  <dc:language>en</dc:language>
  <cp:keywords/>
  <dcterms:created xsi:type="dcterms:W3CDTF">2026-07-23T20:12:46Z</dcterms:created>
  <dcterms:modified xsi:type="dcterms:W3CDTF">2026-07-23T20:12:46Z</dcterms:modified>
</cp:coreProperties>
</file>

<file path=docProps/custom.xml><?xml version="1.0" encoding="utf-8"?>
<Properties xmlns="http://schemas.openxmlformats.org/officeDocument/2006/custom-properties" xmlns:vt="http://schemas.openxmlformats.org/officeDocument/2006/docPropsVTypes"/>
</file>