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Accounting</w:t>
      </w:r>
      <w:r>
        <w:t xml:space="preserve"> </w:t>
      </w:r>
      <w:r>
        <w:t xml:space="preserve">Perspective</w:t>
      </w:r>
      <w:r>
        <w:t xml:space="preserve"> </w:t>
      </w:r>
      <w:r>
        <w:t xml:space="preserve">-</w:t>
      </w:r>
      <w:r>
        <w:t xml:space="preserve"> </w:t>
      </w:r>
      <w:r>
        <w:t xml:space="preserve">Brasília,</w:t>
      </w:r>
      <w:r>
        <w:t xml:space="preserve"> </w:t>
      </w:r>
      <w:r>
        <w:t xml:space="preserve">Brazil</w:t>
      </w:r>
    </w:p>
    <w:bookmarkStart w:id="27" w:name="X0cdfcfa15d412202f5bff99ba8d1042734cf155"/>
    <w:p>
      <w:pPr>
        <w:pStyle w:val="Heading1"/>
      </w:pPr>
      <w:r>
        <w:t xml:space="preserve">SALES REPORT &amp; FINANCIAL ANALYSIS</w:t>
      </w:r>
      <w:r>
        <w:br/>
      </w:r>
      <w:r>
        <w:t xml:space="preserve">ACCOUNTING DEPARTMENT - BRASÍLIA, BRAZIL</w:t>
      </w:r>
    </w:p>
    <w:p>
      <w:pPr>
        <w:pStyle w:val="FirstParagraph"/>
      </w:pPr>
      <w:r>
        <w:t xml:space="preserve">Prepared by: João Mendes, Certified Public Accountant (CPC)</w:t>
      </w:r>
      <w:r>
        <w:br/>
      </w:r>
      <w:r>
        <w:t xml:space="preserve">Date: October 26, 2023</w:t>
      </w:r>
      <w:r>
        <w:br/>
      </w:r>
      <w:r>
        <w:t xml:space="preserve">Report Period: Q3 2023 (July 1 - September 30)</w:t>
      </w:r>
    </w:p>
    <w:bookmarkStart w:id="20" w:name="executive-summary"/>
    <w:p>
      <w:pPr>
        <w:pStyle w:val="Heading2"/>
      </w:pPr>
      <w:r>
        <w:t xml:space="preserve">Executive Summary</w:t>
      </w:r>
    </w:p>
    <w:p>
      <w:pPr>
        <w:pStyle w:val="FirstParagraph"/>
      </w:pPr>
      <w:r>
        <w:t xml:space="preserve">This comprehensive Sales Report provides a detailed financial analysis of our sales performance across the Federal District, with particular emphasis on Brasília operations. As the designated Accountant for Brazil's capital region, I have meticulously reviewed all revenue streams, tax compliance requirements under Brazilian legislation (including ICMS and ISSQN), and cash flow patterns to deliver actionable insights. The Q3 2023 period demonstrated a 12.7% year-over-year increase in sales revenue within Brasília, driven by strategic government contracts and retail expansion. This report serves as the foundational document for our quarterly financial review in Brazil's administrative hub.</w:t>
      </w:r>
    </w:p>
    <w:bookmarkEnd w:id="20"/>
    <w:bookmarkStart w:id="21" w:name="Xa2cfb5a43efa0158ecba5d37bba2160f9cda5bb"/>
    <w:p>
      <w:pPr>
        <w:pStyle w:val="Heading2"/>
      </w:pPr>
      <w:r>
        <w:t xml:space="preserve">Sales Performance Overview (Brasília Operations)</w:t>
      </w:r>
    </w:p>
    <w:p>
      <w:pPr>
        <w:pStyle w:val="FirstParagraph"/>
      </w:pPr>
      <w:r>
        <w:t xml:space="preserve">Our Brasília sales division generated R$ 4.87 million in revenue during Q3, surpassing the projected target of R$ 4.32 million by 12.7%. This growth position us favorably for reaching our annual Brazilian market goals. The following table summarizes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(R$)</w:t>
            </w:r>
          </w:p>
        </w:tc>
        <w:tc>
          <w:tcPr/>
          <w:p>
            <w:pPr>
              <w:pStyle w:val="Compact"/>
              <w:jc w:val="left"/>
            </w:pPr>
            <w:r>
              <w:t xml:space="preserve">Q3 2022 (R$)</w:t>
            </w:r>
          </w:p>
        </w:tc>
        <w:tc>
          <w:tcPr/>
          <w:p>
            <w:pPr>
              <w:pStyle w:val="Compact"/>
              <w:jc w:val="left"/>
            </w:pPr>
            <w:r>
              <w:t xml:space="preserve">% Change</w:t>
            </w:r>
          </w:p>
        </w:tc>
      </w:tr>
      <w:tr>
        <w:tc>
          <w:tcPr/>
          <w:p>
            <w:pPr>
              <w:pStyle w:val="Compact"/>
              <w:jc w:val="left"/>
            </w:pPr>
            <w:r>
              <w:t xml:space="preserve">Product Sales</w:t>
            </w:r>
          </w:p>
        </w:tc>
        <w:tc>
          <w:tcPr/>
          <w:p>
            <w:pPr>
              <w:pStyle w:val="Compact"/>
              <w:jc w:val="left"/>
            </w:pPr>
            <w:r>
              <w:t xml:space="preserve">2,950,000</w:t>
            </w:r>
          </w:p>
        </w:tc>
        <w:tc>
          <w:tcPr/>
          <w:p>
            <w:pPr>
              <w:pStyle w:val="Compact"/>
              <w:jc w:val="left"/>
            </w:pPr>
            <w:r>
              <w:t xml:space="preserve">2,615,000</w:t>
            </w:r>
          </w:p>
        </w:tc>
        <w:tc>
          <w:tcPr/>
          <w:p>
            <w:pPr>
              <w:pStyle w:val="Compact"/>
              <w:jc w:val="left"/>
            </w:pPr>
            <w:r>
              <w:t xml:space="preserve">+12.8%</w:t>
            </w:r>
          </w:p>
        </w:tc>
      </w:tr>
      <w:tr>
        <w:tc>
          <w:tcPr/>
          <w:p>
            <w:pPr>
              <w:pStyle w:val="Compact"/>
              <w:jc w:val="left"/>
            </w:pPr>
            <w:r>
              <w:t xml:space="preserve">Government Contracts (Brasília)</w:t>
            </w:r>
          </w:p>
        </w:tc>
        <w:tc>
          <w:tcPr/>
          <w:p>
            <w:pPr>
              <w:pStyle w:val="Compact"/>
              <w:jc w:val="left"/>
            </w:pPr>
            <w:r>
              <w:t xml:space="preserve">1,520,000</w:t>
            </w:r>
          </w:p>
        </w:tc>
        <w:tc>
          <w:tcPr/>
          <w:p>
            <w:pPr>
              <w:pStyle w:val="Compact"/>
              <w:jc w:val="left"/>
            </w:pPr>
            <w:r>
              <w:t xml:space="preserve">1,357,000</w:t>
            </w:r>
          </w:p>
        </w:tc>
        <w:tc>
          <w:tcPr/>
          <w:p>
            <w:pPr>
              <w:pStyle w:val="Compact"/>
              <w:jc w:val="left"/>
            </w:pPr>
            <w:r>
              <w:t xml:space="preserve">+12.0%</w:t>
            </w:r>
          </w:p>
        </w:tc>
      </w:tr>
      <w:tr>
        <w:tc>
          <w:tcPr/>
          <w:p>
            <w:pPr>
              <w:pStyle w:val="Compact"/>
              <w:jc w:val="left"/>
            </w:pPr>
            <w:r>
              <w:t xml:space="preserve">Retail &amp; E-commerce (Brasília)</w:t>
            </w:r>
          </w:p>
        </w:tc>
        <w:tc>
          <w:tcPr/>
          <w:p>
            <w:pPr>
              <w:pStyle w:val="Compact"/>
              <w:jc w:val="left"/>
            </w:pPr>
            <w:r>
              <w:t xml:space="preserve">402,500</w:t>
            </w:r>
          </w:p>
        </w:tc>
        <w:tc>
          <w:tcPr/>
          <w:p>
            <w:pPr>
              <w:pStyle w:val="Compact"/>
              <w:jc w:val="left"/>
            </w:pPr>
            <w:r>
              <w:t xml:space="preserve">359,750</w:t>
            </w:r>
          </w:p>
        </w:tc>
        <w:tc>
          <w:tcPr/>
          <w:p>
            <w:pPr>
              <w:pStyle w:val="Compact"/>
              <w:jc w:val="left"/>
            </w:pPr>
            <w:r>
              <w:t xml:space="preserve">+11.9%</w:t>
            </w:r>
          </w:p>
        </w:tc>
      </w:tr>
      <w:tr>
        <w:tc>
          <w:tcPr/>
          <w:p>
            <w:pPr>
              <w:pStyle w:val="Compact"/>
              <w:jc w:val="left"/>
            </w:pPr>
            <w:r>
              <w:rPr>
                <w:bCs/>
                <w:b/>
              </w:rPr>
              <w:t xml:space="preserve">Total Revenue</w:t>
            </w:r>
          </w:p>
        </w:tc>
        <w:tc>
          <w:tcPr/>
          <w:p>
            <w:pPr>
              <w:pStyle w:val="Compact"/>
              <w:jc w:val="left"/>
            </w:pPr>
            <w:r>
              <w:rPr>
                <w:bCs/>
                <w:b/>
              </w:rPr>
              <w:t xml:space="preserve">4,872,500</w:t>
            </w:r>
          </w:p>
        </w:tc>
        <w:tc>
          <w:tcPr/>
          <w:p>
            <w:pPr>
              <w:pStyle w:val="Compact"/>
              <w:jc w:val="left"/>
            </w:pPr>
            <w:r>
              <w:rPr>
                <w:bCs/>
                <w:b/>
              </w:rPr>
              <w:t xml:space="preserve">4,331,750</w:t>
            </w:r>
          </w:p>
        </w:tc>
        <w:tc>
          <w:tcPr/>
          <w:p>
            <w:pPr>
              <w:pStyle w:val="Compact"/>
              <w:jc w:val="left"/>
            </w:pPr>
            <w:r>
              <w:rPr>
                <w:bCs/>
                <w:b/>
              </w:rPr>
              <w:t xml:space="preserve">+12.7%</w:t>
            </w:r>
          </w:p>
        </w:tc>
      </w:tr>
    </w:tbl>
    <w:bookmarkEnd w:id="21"/>
    <w:bookmarkStart w:id="22" w:name="accountants-financial-analysis"/>
    <w:p>
      <w:pPr>
        <w:pStyle w:val="Heading2"/>
      </w:pPr>
      <w:r>
        <w:t xml:space="preserve">Accountant's Financial Analysis</w:t>
      </w:r>
    </w:p>
    <w:p>
      <w:pPr>
        <w:pStyle w:val="FirstParagraph"/>
      </w:pPr>
      <w:r>
        <w:t xml:space="preserve">As the Accountant responsible for Brazil Brasília's financial reporting, I conducted a thorough review of sales data in compliance with Brazilian accounting standards (NBC TG 06). Key findings include:</w:t>
      </w:r>
    </w:p>
    <w:p>
      <w:pPr>
        <w:numPr>
          <w:ilvl w:val="0"/>
          <w:numId w:val="1001"/>
        </w:numPr>
        <w:pStyle w:val="Compact"/>
      </w:pPr>
      <w:r>
        <w:rPr>
          <w:bCs/>
          <w:b/>
        </w:rPr>
        <w:t xml:space="preserve">Tax Compliance Efficiency:</w:t>
      </w:r>
      <w:r>
        <w:t xml:space="preserve"> </w:t>
      </w:r>
      <w:r>
        <w:t xml:space="preserve">Successful implementation of the new ICMS calculation system reduced tax processing time by 37% for Brasília sales. All government contracts were processed with 100% adherence to Lei Complementar nº 123/2006, preventing potential fiscal penalties.</w:t>
      </w:r>
    </w:p>
    <w:p>
      <w:pPr>
        <w:numPr>
          <w:ilvl w:val="0"/>
          <w:numId w:val="1001"/>
        </w:numPr>
        <w:pStyle w:val="Compact"/>
      </w:pPr>
      <w:r>
        <w:rPr>
          <w:bCs/>
          <w:b/>
        </w:rPr>
        <w:t xml:space="preserve">Cash Flow Optimization:</w:t>
      </w:r>
      <w:r>
        <w:t xml:space="preserve"> </w:t>
      </w:r>
      <w:r>
        <w:t xml:space="preserve">The average collection period decreased from 45 days (Q2) to 38 days (Q3), directly improving our working capital position in the Brasília market. This was achieved through the Accountant's strategic negotiation of extended payment terms with major clients.</w:t>
      </w:r>
    </w:p>
    <w:p>
      <w:pPr>
        <w:numPr>
          <w:ilvl w:val="0"/>
          <w:numId w:val="1001"/>
        </w:numPr>
        <w:pStyle w:val="Compact"/>
      </w:pPr>
      <w:r>
        <w:rPr>
          <w:bCs/>
          <w:b/>
        </w:rPr>
        <w:t xml:space="preserve">Marginal Analysis:</w:t>
      </w:r>
      <w:r>
        <w:t xml:space="preserve"> </w:t>
      </w:r>
      <w:r>
        <w:t xml:space="preserve">Product sales maintained a healthy 42.5% gross margin (vs. industry average of 38%), largely due to our Accountant's cost-structure review that eliminated redundant procurement channels in Brasília warehouses.</w:t>
      </w:r>
    </w:p>
    <w:bookmarkEnd w:id="22"/>
    <w:bookmarkStart w:id="23" w:name="Xddfafd555bcaa1dea10064eac39b116bddc866c"/>
    <w:p>
      <w:pPr>
        <w:pStyle w:val="Heading2"/>
      </w:pPr>
      <w:r>
        <w:t xml:space="preserve">Brazilian Regulatory Compliance Highlights</w:t>
      </w:r>
    </w:p>
    <w:p>
      <w:pPr>
        <w:pStyle w:val="FirstParagraph"/>
      </w:pPr>
      <w:r>
        <w:t xml:space="preserve">This Sales Report strictly adheres to Brazil's Federal Revenue Service (Receita Federal) requirements. Critical compliance points addressed by our Brasília Accountant team:</w:t>
      </w:r>
    </w:p>
    <w:p>
      <w:pPr>
        <w:numPr>
          <w:ilvl w:val="0"/>
          <w:numId w:val="1002"/>
        </w:numPr>
        <w:pStyle w:val="Compact"/>
      </w:pPr>
      <w:r>
        <w:rPr>
          <w:bCs/>
          <w:b/>
        </w:rPr>
        <w:t xml:space="preserve">ISSQN Reporting:</w:t>
      </w:r>
      <w:r>
        <w:t xml:space="preserve"> </w:t>
      </w:r>
      <w:r>
        <w:t xml:space="preserve">Accurate classification of services provided to Brasília government entities ensured proper ISSQN (Service Tax) remittance at the correct municipal rate (5.5% for most services).</w:t>
      </w:r>
    </w:p>
    <w:p>
      <w:pPr>
        <w:numPr>
          <w:ilvl w:val="0"/>
          <w:numId w:val="1002"/>
        </w:numPr>
        <w:pStyle w:val="Compact"/>
      </w:pPr>
      <w:r>
        <w:t xml:space="preserve">NF-e Compliance: All 14,287 sales invoices generated in Brasília met the electronic invoice (NF-e) requirements under SEFAZ-DF regulations, with zero rejection rates during Q3.</w:t>
      </w:r>
    </w:p>
    <w:p>
      <w:pPr>
        <w:numPr>
          <w:ilvl w:val="0"/>
          <w:numId w:val="1002"/>
        </w:numPr>
        <w:pStyle w:val="Compact"/>
      </w:pPr>
      <w:r>
        <w:rPr>
          <w:bCs/>
          <w:b/>
        </w:rPr>
        <w:t xml:space="preserve">Withholding Tax:</w:t>
      </w:r>
      <w:r>
        <w:t xml:space="preserve"> </w:t>
      </w:r>
      <w:r>
        <w:t xml:space="preserve">Appropriate withholding of 15% income tax on contractor payments was verified through our Accountant's reconciliation process for all government contracts.</w:t>
      </w:r>
    </w:p>
    <w:bookmarkEnd w:id="23"/>
    <w:bookmarkStart w:id="24" w:name="brasília-market-specific-insights"/>
    <w:p>
      <w:pPr>
        <w:pStyle w:val="Heading2"/>
      </w:pPr>
      <w:r>
        <w:t xml:space="preserve">Brasília Market-Specific Insights</w:t>
      </w:r>
    </w:p>
    <w:p>
      <w:pPr>
        <w:pStyle w:val="FirstParagraph"/>
      </w:pPr>
      <w:r>
        <w:t xml:space="preserve">As the Accountant for our Brasília operations, I've identified three market-specific factors influencing sales performance:</w:t>
      </w:r>
    </w:p>
    <w:p>
      <w:pPr>
        <w:numPr>
          <w:ilvl w:val="0"/>
          <w:numId w:val="1003"/>
        </w:numPr>
        <w:pStyle w:val="Compact"/>
      </w:pPr>
      <w:r>
        <w:rPr>
          <w:bCs/>
          <w:b/>
        </w:rPr>
        <w:t xml:space="preserve">Government Contract Boom:</w:t>
      </w:r>
      <w:r>
        <w:t xml:space="preserve"> </w:t>
      </w:r>
      <w:r>
        <w:t xml:space="preserve">Increased public procurement activity in Brasília (notably from the Ministry of Health) drove a 28% increase in government contract revenue. My team expedited all related financial documentation to meet municipal audit deadlines.</w:t>
      </w:r>
    </w:p>
    <w:p>
      <w:pPr>
        <w:numPr>
          <w:ilvl w:val="0"/>
          <w:numId w:val="1003"/>
        </w:numPr>
        <w:pStyle w:val="Compact"/>
      </w:pPr>
      <w:r>
        <w:rPr>
          <w:bCs/>
          <w:b/>
        </w:rPr>
        <w:t xml:space="preserve">Seasonal Demand Shifts:</w:t>
      </w:r>
      <w:r>
        <w:t xml:space="preserve"> </w:t>
      </w:r>
      <w:r>
        <w:t xml:space="preserve">The university semester start (August) created unexpected retail demand spikes that our Accountant forecasted through historical sales pattern analysis, allowing inventory adjustments before peak season.</w:t>
      </w:r>
    </w:p>
    <w:p>
      <w:pPr>
        <w:numPr>
          <w:ilvl w:val="0"/>
          <w:numId w:val="1003"/>
        </w:numPr>
        <w:pStyle w:val="Compact"/>
      </w:pPr>
      <w:r>
        <w:rPr>
          <w:bCs/>
          <w:b/>
        </w:rPr>
        <w:t xml:space="preserve">Tax Policy Impact:</w:t>
      </w:r>
      <w:r>
        <w:t xml:space="preserve"> </w:t>
      </w:r>
      <w:r>
        <w:t xml:space="preserve">Recent ICMS reduction in the Federal District (effective July 1) contributed to a 7.3% increase in consumer sales volume, validated by my tax impact analysis.</w:t>
      </w:r>
    </w:p>
    <w:bookmarkEnd w:id="24"/>
    <w:bookmarkStart w:id="25" w:name="financial-projections-recommendations"/>
    <w:p>
      <w:pPr>
        <w:pStyle w:val="Heading2"/>
      </w:pPr>
      <w:r>
        <w:t xml:space="preserve">Financial Projections &amp; Recommendations</w:t>
      </w:r>
    </w:p>
    <w:p>
      <w:pPr>
        <w:pStyle w:val="FirstParagraph"/>
      </w:pPr>
      <w:r>
        <w:t xml:space="preserve">Based on Brasília's Q3 performance and my analysis as the dedicated Accountant for this region, I project:</w:t>
      </w:r>
    </w:p>
    <w:p>
      <w:pPr>
        <w:numPr>
          <w:ilvl w:val="0"/>
          <w:numId w:val="1004"/>
        </w:numPr>
        <w:pStyle w:val="Compact"/>
      </w:pPr>
      <w:r>
        <w:rPr>
          <w:bCs/>
          <w:b/>
        </w:rPr>
        <w:t xml:space="preserve">Q4 2023 Revenue:</w:t>
      </w:r>
      <w:r>
        <w:t xml:space="preserve"> </w:t>
      </w:r>
      <w:r>
        <w:t xml:space="preserve">R$ 5.15 million (estimated 16.7% growth from Q3)</w:t>
      </w:r>
    </w:p>
    <w:p>
      <w:pPr>
        <w:numPr>
          <w:ilvl w:val="0"/>
          <w:numId w:val="1004"/>
        </w:numPr>
        <w:pStyle w:val="Compact"/>
      </w:pPr>
      <w:r>
        <w:rPr>
          <w:bCs/>
          <w:b/>
        </w:rPr>
        <w:t xml:space="preserve">Full-Year Brazil Target Achievement:</w:t>
      </w:r>
      <w:r>
        <w:t xml:space="preserve"> </w:t>
      </w:r>
      <w:r>
        <w:t xml:space="preserve">98.4% of annual goal (R$ 20.7M vs. projected R$ 21M)</w:t>
      </w:r>
    </w:p>
    <w:p>
      <w:pPr>
        <w:pStyle w:val="FirstParagraph"/>
      </w:pPr>
      <w:r>
        <w:rPr>
          <w:iCs/>
          <w:i/>
        </w:rPr>
        <w:t xml:space="preserve">Recommendations for Executive Team:</w:t>
      </w:r>
    </w:p>
    <w:p>
      <w:pPr>
        <w:numPr>
          <w:ilvl w:val="0"/>
          <w:numId w:val="1005"/>
        </w:numPr>
        <w:pStyle w:val="Compact"/>
      </w:pPr>
      <w:r>
        <w:t xml:space="preserve">Expand government contract department in Brasília to capitalize on federal procurement trends.</w:t>
      </w:r>
    </w:p>
    <w:p>
      <w:pPr>
        <w:numPr>
          <w:ilvl w:val="0"/>
          <w:numId w:val="1005"/>
        </w:numPr>
        <w:pStyle w:val="Compact"/>
      </w:pPr>
      <w:r>
        <w:t xml:space="preserve">Implement automated sales tax calculation software (already approved by our Brasília Accountant team) to further reduce processing time.</w:t>
      </w:r>
    </w:p>
    <w:p>
      <w:pPr>
        <w:numPr>
          <w:ilvl w:val="0"/>
          <w:numId w:val="1005"/>
        </w:numPr>
        <w:pStyle w:val="Compact"/>
      </w:pPr>
      <w:r>
        <w:t xml:space="preserve">Allocate additional inventory for high-demand educational products during the upcoming academic year, based on my Q4 forecast model developed using Brasília-specific sales data.</w:t>
      </w:r>
    </w:p>
    <w:bookmarkEnd w:id="25"/>
    <w:bookmarkStart w:id="26" w:name="conclusion"/>
    <w:p>
      <w:pPr>
        <w:pStyle w:val="Heading2"/>
      </w:pPr>
      <w:r>
        <w:t xml:space="preserve">Conclusion</w:t>
      </w:r>
    </w:p>
    <w:p>
      <w:pPr>
        <w:pStyle w:val="FirstParagraph"/>
      </w:pPr>
      <w:r>
        <w:t xml:space="preserve">This Sales Report demonstrates how rigorous accounting practices directly contribute to Brasília's commercial success in Brazil. As your primary Accountant for the Federal District, I've ensured this report meets all requirements of Brazil's National Council of Accounting (CFC) and provides actionable insights specific to our Brasília market. The 12.7% revenue growth proves that disciplined financial management—coupled with localized market understanding—delivers measurable results in Brazil's capital city. Moving forward, I will continue to refine our sales reporting protocols to better serve the unique dynamics of Brasília's business environment and maintain full compliance with Brazilian tax legislation.</w:t>
      </w:r>
    </w:p>
    <w:p>
      <w:pPr>
        <w:pStyle w:val="BodyText"/>
      </w:pPr>
      <w:r>
        <w:rPr>
          <w:iCs/>
          <w:i/>
        </w:rPr>
        <w:t xml:space="preserve">João Mendes, CPA</w:t>
      </w:r>
      <w:r>
        <w:br/>
      </w:r>
      <w:r>
        <w:rPr>
          <w:iCs/>
          <w:i/>
        </w:rPr>
        <w:t xml:space="preserve">Financial Controller - Brasília Operations</w:t>
      </w:r>
      <w:r>
        <w:br/>
      </w:r>
      <w:r>
        <w:rPr>
          <w:iCs/>
          <w:i/>
        </w:rPr>
        <w:t xml:space="preserve">Empresa de Tecnologia Avançada do Brasil (ETAB)</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Accounting Perspective - Brasília, Brazil</dc:title>
  <dc:creator/>
  <dc:language>en</dc:language>
  <cp:keywords/>
  <dcterms:created xsi:type="dcterms:W3CDTF">2025-12-10T11:42:00Z</dcterms:created>
  <dcterms:modified xsi:type="dcterms:W3CDTF">2025-12-10T11:42:00Z</dcterms:modified>
</cp:coreProperties>
</file>

<file path=docProps/custom.xml><?xml version="1.0" encoding="utf-8"?>
<Properties xmlns="http://schemas.openxmlformats.org/officeDocument/2006/custom-properties" xmlns:vt="http://schemas.openxmlformats.org/officeDocument/2006/docPropsVTypes"/>
</file>