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&amp;</w:t>
      </w:r>
      <w:r>
        <w:t xml:space="preserve"> </w:t>
      </w:r>
      <w:r>
        <w:t xml:space="preserve">Financial</w:t>
      </w:r>
      <w:r>
        <w:t xml:space="preserve"> </w:t>
      </w:r>
      <w:r>
        <w:t xml:space="preserve">Compliance</w:t>
      </w:r>
      <w:r>
        <w:t xml:space="preserve"> </w:t>
      </w:r>
      <w:r>
        <w:t xml:space="preserve">Analysis</w:t>
      </w:r>
      <w:r>
        <w:t xml:space="preserve"> </w:t>
      </w:r>
      <w:r>
        <w:t xml:space="preserve">|</w:t>
      </w:r>
      <w:r>
        <w:t xml:space="preserve"> </w:t>
      </w:r>
      <w:r>
        <w:t xml:space="preserve">Rio</w:t>
      </w:r>
      <w:r>
        <w:t xml:space="preserve"> </w:t>
      </w:r>
      <w:r>
        <w:t xml:space="preserve">de</w:t>
      </w:r>
      <w:r>
        <w:t xml:space="preserve"> </w:t>
      </w:r>
      <w:r>
        <w:t xml:space="preserve">Janeiro</w:t>
      </w:r>
    </w:p>
    <w:bookmarkStart w:id="27" w:name="X7027f69fddda2afa4a55b49fec9d6eb4c8ad813"/>
    <w:p>
      <w:pPr>
        <w:pStyle w:val="Heading1"/>
      </w:pPr>
      <w:r>
        <w:t xml:space="preserve">Sales Performance Report &amp; Financial Compliance Analysis: Accountant's Strategic Role in Rio de Janeiro Operations (Q3 2024)</w:t>
      </w:r>
    </w:p>
    <w:p>
      <w:pPr>
        <w:pStyle w:val="FirstParagraph"/>
      </w:pPr>
      <w:r>
        <w:rPr>
          <w:bCs/>
          <w:b/>
        </w:rPr>
        <w:t xml:space="preserve">Prepared For:</w:t>
      </w:r>
      <w:r>
        <w:t xml:space="preserve"> </w:t>
      </w:r>
      <w:r>
        <w:t xml:space="preserve">Executive Management, Finance Department</w:t>
      </w:r>
      <w:r>
        <w:br/>
      </w:r>
      <w:r>
        <w:rPr>
          <w:bCs/>
          <w:b/>
        </w:rPr>
        <w:t xml:space="preserve">Prepared By:</w:t>
      </w:r>
      <w:r>
        <w:t xml:space="preserve"> </w:t>
      </w:r>
      <w:r>
        <w:t xml:space="preserve">Accounting and Compliance Division, Rio de Janeiro Office</w:t>
      </w:r>
      <w:r>
        <w:br/>
      </w:r>
      <w:r>
        <w:rPr>
          <w:bCs/>
          <w:b/>
        </w:rPr>
        <w:t xml:space="preserve">Date:</w:t>
      </w:r>
      <w:r>
        <w:t xml:space="preserve"> </w:t>
      </w:r>
      <w:r>
        <w:t xml:space="preserve">October 26, 2024</w:t>
      </w:r>
      <w:r>
        <w:br/>
      </w:r>
      <w:r>
        <w:rPr>
          <w:bCs/>
          <w:b/>
        </w:rPr>
        <w:t xml:space="preserve">Period Covered: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Q3 performance across all commercial channels for our Rio de Janeiro operations, with critical analysis provided by the dedicated Accountant team. The report confirms a robust 18% year-over-year growth in sales revenue, reaching R$ 47.8 million, driven by strategic expansion in the Guanabara Bay region and strong demand for our premium consumer goods portfolio. Crucially, this performance was validated through meticulous financial reconciliation performed by our Rio de Janeiro Accountant team, ensuring full compliance with Brazilian Accounting Standards (NBC) and Federal Tax Authority (Receita Federal) requirements. The Accountant’s role in transforming raw sales data into auditable financial insights proved indispensable for strategic decision-making in Brazil's complex fiscal landscape.</w:t>
      </w:r>
    </w:p>
    <w:bookmarkEnd w:id="20"/>
    <w:bookmarkStart w:id="22" w:name="Xa093bba10a70663d32bd8b98be86b53ef078fb6"/>
    <w:p>
      <w:pPr>
        <w:pStyle w:val="Heading2"/>
      </w:pPr>
      <w:r>
        <w:t xml:space="preserve">II. Sales Performance Analysis: Rio de Janeiro Market Focus</w:t>
      </w:r>
    </w:p>
    <w:p>
      <w:pPr>
        <w:pStyle w:val="FirstParagraph"/>
      </w:pPr>
      <w:r>
        <w:t xml:space="preserve">The Q3 Sales Report highlights exceptional performance within key Rio de Janeiro metropolitan sectors. The Commercial Division achieved R$ 34.1 million in sales (71% of total), with the upscale shopping corridor of Leblon showing a 29% surge, while the Industrial Zone (Greater Niterói) contributed R$ 13.7 million (+22%). Notably, the Accountant’s department identified an opportunity to optimize regional tax allocation: by accurately categorizing sales per Brazilian ICMS (Imposto sobre Circulação de Mercadorias e Serviços) rates applicable to Rio de Janeiro municipalities, we secured an estimated R$ 185,000 in quarterly tax efficiency. This precision in sales data classification – directly sourced from the Sales Report – is a hallmark of our Accountant team’s operational excellence.</w:t>
      </w:r>
    </w:p>
    <w:bookmarkStart w:id="21" w:name="key-metrics-rio-de-janeiro-operations"/>
    <w:p>
      <w:pPr>
        <w:pStyle w:val="Heading3"/>
      </w:pPr>
      <w:r>
        <w:t xml:space="preserve">Key Metrics (Rio de Janeiro Operations):</w:t>
      </w:r>
    </w:p>
    <w:p>
      <w:pPr>
        <w:numPr>
          <w:ilvl w:val="0"/>
          <w:numId w:val="1001"/>
        </w:numPr>
        <w:pStyle w:val="Compact"/>
      </w:pPr>
      <w:r>
        <w:rPr>
          <w:bCs/>
          <w:b/>
        </w:rPr>
        <w:t xml:space="preserve">Total Sales Revenue:</w:t>
      </w:r>
      <w:r>
        <w:t xml:space="preserve"> </w:t>
      </w:r>
      <w:r>
        <w:t xml:space="preserve">R$ 47.8 million (↑18% YoY)</w:t>
      </w:r>
    </w:p>
    <w:p>
      <w:pPr>
        <w:numPr>
          <w:ilvl w:val="0"/>
          <w:numId w:val="1001"/>
        </w:numPr>
        <w:pStyle w:val="Compact"/>
      </w:pPr>
      <w:r>
        <w:rPr>
          <w:bCs/>
          <w:b/>
        </w:rPr>
        <w:t xml:space="preserve">Profit Margin:</w:t>
      </w:r>
      <w:r>
        <w:t xml:space="preserve"> </w:t>
      </w:r>
      <w:r>
        <w:t xml:space="preserve">29.5% (↑1.2 pp vs Q2, driven by reduced logistics costs in Guanabara Bay region)</w:t>
      </w:r>
    </w:p>
    <w:p>
      <w:pPr>
        <w:numPr>
          <w:ilvl w:val="0"/>
          <w:numId w:val="1001"/>
        </w:numPr>
        <w:pStyle w:val="Compact"/>
      </w:pPr>
      <w:r>
        <w:rPr>
          <w:bCs/>
          <w:b/>
        </w:rPr>
        <w:t xml:space="preserve">Top Performing Product Category:</w:t>
      </w:r>
      <w:r>
        <w:t xml:space="preserve"> </w:t>
      </w:r>
      <w:r>
        <w:t xml:space="preserve">Premium Electronics (R$ 14.3 million, ↑35% YoY)</w:t>
      </w:r>
    </w:p>
    <w:p>
      <w:pPr>
        <w:numPr>
          <w:ilvl w:val="0"/>
          <w:numId w:val="1001"/>
        </w:numPr>
        <w:pStyle w:val="Compact"/>
      </w:pPr>
      <w:r>
        <w:rPr>
          <w:bCs/>
          <w:b/>
        </w:rPr>
        <w:t xml:space="preserve">Sales Growth Driver:</w:t>
      </w:r>
      <w:r>
        <w:t xml:space="preserve"> </w:t>
      </w:r>
      <w:r>
        <w:t xml:space="preserve">Strategic partnerships with 7 new retailers in Barra da Tijuca and Santa Teresa</w:t>
      </w:r>
    </w:p>
    <w:bookmarkEnd w:id="21"/>
    <w:bookmarkEnd w:id="22"/>
    <w:bookmarkStart w:id="23" w:name="X9872997714063317fc544e275506a6e1ea10697"/>
    <w:p>
      <w:pPr>
        <w:pStyle w:val="Heading2"/>
      </w:pPr>
      <w:r>
        <w:t xml:space="preserve">III. The Accountant's Critical Role in Sales Report Integrity (Rio de Janeiro Context)</w:t>
      </w:r>
    </w:p>
    <w:p>
      <w:pPr>
        <w:pStyle w:val="FirstParagraph"/>
      </w:pPr>
      <w:r>
        <w:t xml:space="preserve">In Brazil, the Accountant is not merely a number-cruncher; they are the guardian of fiscal compliance. For this Sales Report, our Rio de Janeiro Accountant team executed three pivotal functions:</w:t>
      </w:r>
    </w:p>
    <w:p>
      <w:pPr>
        <w:numPr>
          <w:ilvl w:val="0"/>
          <w:numId w:val="1002"/>
        </w:numPr>
        <w:pStyle w:val="Compact"/>
      </w:pPr>
      <w:r>
        <w:rPr>
          <w:bCs/>
          <w:b/>
        </w:rPr>
        <w:t xml:space="preserve">Data Validation &amp; Reconciliation:</w:t>
      </w:r>
      <w:r>
        <w:t xml:space="preserve"> </w:t>
      </w:r>
      <w:r>
        <w:t xml:space="preserve">Cross-referenced point-of-sale (POS) data from 12 retail outlets across Rio with bank deposits and electronic invoicing (NF-e), resolving discrepancies amounting to R$ 87,000 before the month-end close. This ensured the Sales Report reflected *accurate* revenue for SEFAZ (Rio de Janeiro’s Tax Authority) reporting.</w:t>
      </w:r>
    </w:p>
    <w:p>
      <w:pPr>
        <w:numPr>
          <w:ilvl w:val="0"/>
          <w:numId w:val="1002"/>
        </w:numPr>
        <w:pStyle w:val="Compact"/>
      </w:pPr>
      <w:r>
        <w:rPr>
          <w:bCs/>
          <w:b/>
        </w:rPr>
        <w:t xml:space="preserve">Tax Compliance Integration:</w:t>
      </w:r>
      <w:r>
        <w:t xml:space="preserve"> </w:t>
      </w:r>
      <w:r>
        <w:t xml:space="preserve">Applied Rio-specific ICMS rates (17% standard, 12% for essential goods) to each sales line item based on product classification per Brazilian tax code. The Accountant’s meticulous work prevented potential R$ 320,000 in overpayment and ensured seamless CAGED (National Register of Employed Workers) filings aligned with sales volume.</w:t>
      </w:r>
    </w:p>
    <w:p>
      <w:pPr>
        <w:numPr>
          <w:ilvl w:val="0"/>
          <w:numId w:val="1002"/>
        </w:numPr>
        <w:pStyle w:val="Compact"/>
      </w:pPr>
      <w:r>
        <w:rPr>
          <w:bCs/>
          <w:b/>
        </w:rPr>
        <w:t xml:space="preserve">Financial Reporting Synthesis:</w:t>
      </w:r>
      <w:r>
        <w:t xml:space="preserve"> </w:t>
      </w:r>
      <w:r>
        <w:t xml:space="preserve">Transformed the raw Sales Report into actionable financial insights for management. For instance, identifying that 68% of high-margin sales occurred at weekend hours in Leblon prompted a targeted staffing adjustment – approved by Finance and Operations teams – directly increasing Q3 productivity.</w:t>
      </w:r>
    </w:p>
    <w:bookmarkEnd w:id="23"/>
    <w:bookmarkStart w:id="24" w:name="Xad612feac8ca266290805cde98c5f920d8f7cf3"/>
    <w:p>
      <w:pPr>
        <w:pStyle w:val="Heading2"/>
      </w:pPr>
      <w:r>
        <w:t xml:space="preserve">IV. Brazil-Specific Challenges &amp; Rio de Janeiro Adaptations</w:t>
      </w:r>
    </w:p>
    <w:p>
      <w:pPr>
        <w:pStyle w:val="FirstParagraph"/>
      </w:pPr>
      <w:r>
        <w:t xml:space="preserve">The Sales Report for Rio de Janeiro operations navigates unique Brazilian market complexities:</w:t>
      </w:r>
    </w:p>
    <w:p>
      <w:pPr>
        <w:numPr>
          <w:ilvl w:val="0"/>
          <w:numId w:val="1003"/>
        </w:numPr>
        <w:pStyle w:val="Compact"/>
      </w:pPr>
      <w:r>
        <w:rPr>
          <w:bCs/>
          <w:b/>
        </w:rPr>
        <w:t xml:space="preserve">ICMS Variability:</w:t>
      </w:r>
      <w:r>
        <w:t xml:space="preserve"> </w:t>
      </w:r>
      <w:r>
        <w:t xml:space="preserve">Different municipalities (e.g., São Gonçalo vs. Copacabana) have distinct ICMS rates. Our Accountant team built a dynamic rate matrix within the Sales Report system, auto-applying correct taxes per delivery location – critical for real-time profitability analysis in Rio’s fragmented market.</w:t>
      </w:r>
    </w:p>
    <w:p>
      <w:pPr>
        <w:numPr>
          <w:ilvl w:val="0"/>
          <w:numId w:val="1003"/>
        </w:numPr>
        <w:pStyle w:val="Compact"/>
      </w:pPr>
      <w:r>
        <w:rPr>
          <w:bCs/>
          <w:b/>
        </w:rPr>
        <w:t xml:space="preserve">Receita Federal Scrutiny:</w:t>
      </w:r>
      <w:r>
        <w:t xml:space="preserve"> </w:t>
      </w:r>
      <w:r>
        <w:t xml:space="preserve">Quarterly tax audits by Brazilian authorities require irrefutable sales documentation. The Accountant’s validation of every transaction in the Sales Report (via NF-e integration) prevented all potential compliance gaps during the recent SEFAZ review.</w:t>
      </w:r>
    </w:p>
    <w:p>
      <w:pPr>
        <w:numPr>
          <w:ilvl w:val="0"/>
          <w:numId w:val="1003"/>
        </w:numPr>
        <w:pStyle w:val="Compact"/>
      </w:pPr>
      <w:r>
        <w:rPr>
          <w:bCs/>
          <w:b/>
        </w:rPr>
        <w:t xml:space="preserve">Local Economic Volatility:</w:t>
      </w:r>
      <w:r>
        <w:t xml:space="preserve"> </w:t>
      </w:r>
      <w:r>
        <w:t xml:space="preserve">Rising fuel costs impacted delivery logistics. The Accountant’s analysis, embedded in this Sales Report, showed a 5.2% margin dip in logistics-heavy zones (e.g., Baixada Fluminense), prompting cost-saving initiatives that were implemented by Q4.</w:t>
      </w:r>
    </w:p>
    <w:bookmarkEnd w:id="24"/>
    <w:bookmarkStart w:id="25" w:name="Xc8eb697bdb4b4e14068c933c24a87323c412aba"/>
    <w:p>
      <w:pPr>
        <w:pStyle w:val="Heading2"/>
      </w:pPr>
      <w:r>
        <w:t xml:space="preserve">V. Strategic Recommendations from the Accountant Team</w:t>
      </w:r>
    </w:p>
    <w:p>
      <w:pPr>
        <w:pStyle w:val="FirstParagraph"/>
      </w:pPr>
      <w:r>
        <w:t xml:space="preserve">Based on the Q3 Sales Report analysis and Rio de Janeiro market dynamics, our Accountant team recommends:</w:t>
      </w:r>
    </w:p>
    <w:p>
      <w:pPr>
        <w:numPr>
          <w:ilvl w:val="0"/>
          <w:numId w:val="1004"/>
        </w:numPr>
        <w:pStyle w:val="Compact"/>
      </w:pPr>
      <w:r>
        <w:rPr>
          <w:bCs/>
          <w:b/>
        </w:rPr>
        <w:t xml:space="preserve">Implement Real-Time ICMS Dashboard:</w:t>
      </w:r>
      <w:r>
        <w:t xml:space="preserve"> </w:t>
      </w:r>
      <w:r>
        <w:t xml:space="preserve">Integrate tax rate data directly into our sales platform to automate compliance for all 15 Rio de Janeiro micro-regions, reducing accounting cycle time by 30%. This is prioritized as a critical Brazil-specific enhancement.</w:t>
      </w:r>
    </w:p>
    <w:p>
      <w:pPr>
        <w:numPr>
          <w:ilvl w:val="0"/>
          <w:numId w:val="1004"/>
        </w:numPr>
        <w:pStyle w:val="Compact"/>
      </w:pPr>
      <w:r>
        <w:rPr>
          <w:bCs/>
          <w:b/>
        </w:rPr>
        <w:t xml:space="preserve">Expand Sales Data Analytics Partnership:</w:t>
      </w:r>
      <w:r>
        <w:t xml:space="preserve"> </w:t>
      </w:r>
      <w:r>
        <w:t xml:space="preserve">Collaborate with the Sales Department to embed Accountant-validated metrics into regional performance dashboards (e.g., tracking "Rio-Compliant Gross Margin" per district). The Accountant team will train sales leaders on interpreting these metrics.</w:t>
      </w:r>
    </w:p>
    <w:p>
      <w:pPr>
        <w:numPr>
          <w:ilvl w:val="0"/>
          <w:numId w:val="1004"/>
        </w:numPr>
        <w:pStyle w:val="Compact"/>
      </w:pPr>
      <w:r>
        <w:rPr>
          <w:bCs/>
          <w:b/>
        </w:rPr>
        <w:t xml:space="preserve">Predictive Tax Forecasting Model:</w:t>
      </w:r>
      <w:r>
        <w:t xml:space="preserve"> </w:t>
      </w:r>
      <w:r>
        <w:t xml:space="preserve">Develop a model using historical Sales Report data to forecast ICMS liabilities 90 days ahead. This prevents cash flow shocks during Brazil’s high-tax seasons, especially vital for Rio’s commerce-dependent economy.</w:t>
      </w:r>
    </w:p>
    <w:bookmarkEnd w:id="25"/>
    <w:bookmarkStart w:id="26" w:name="X44fb0225dba6ab108ea6563710b9d6fc1fab211"/>
    <w:p>
      <w:pPr>
        <w:pStyle w:val="Heading2"/>
      </w:pPr>
      <w:r>
        <w:t xml:space="preserve">VI. Conclusion: The Accountant as the Sales Report Anchor in Brazil</w:t>
      </w:r>
    </w:p>
    <w:p>
      <w:pPr>
        <w:pStyle w:val="FirstParagraph"/>
      </w:pPr>
      <w:r>
        <w:t xml:space="preserve">The Q3 Sales Report underscores that success in Rio de Janeiro hinges on the seamless integration of sales execution and financial oversight. As demonstrated through this report, our Accountant team is not a back-office function but a strategic partner who ensures every sale is accurately reported, compliantly taxed, and financially optimized within Brazil’s demanding regulatory framework. The 18% growth we achieved was made possible because the Sales Report – validated by our Rio de Janeiro Accountant – delivered actionable data that aligned with both business objectives and Brazilian legal requirements (including EFD-Reinf for social security contributions). Moving forward, we will institutionalize this collaboration model across all Brazil operations, recognizing that in Rio’s competitive market, the Accountant is the indispensable bridge between revenue generation and sustainable compliance. This report stands as a testament to how meticulous financial stewardship directly fuels sales performance in the Brazilian context.</w:t>
      </w:r>
    </w:p>
    <w:p>
      <w:pPr>
        <w:pStyle w:val="BodyText"/>
      </w:pPr>
      <w:r>
        <w:rPr>
          <w:bCs/>
          <w:b/>
        </w:rPr>
        <w:t xml:space="preserve">Appendix:</w:t>
      </w:r>
      <w:r>
        <w:t xml:space="preserve"> </w:t>
      </w:r>
      <w:r>
        <w:t xml:space="preserve">Full Sales Report Data (Brazilian Standard Format), ICMS Rate Matrix for Rio de Janeiro Municipalities, SEFAZ Compliance Verification Certificate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&amp; Financial Compliance Analysis | Rio de Janeiro</dc:title>
  <dc:creator/>
  <dc:language>en</dc:language>
  <cp:keywords/>
  <dcterms:created xsi:type="dcterms:W3CDTF">2025-12-11T17:04:35Z</dcterms:created>
  <dcterms:modified xsi:type="dcterms:W3CDTF">2025-12-11T17:04:35Z</dcterms:modified>
</cp:coreProperties>
</file>

<file path=docProps/custom.xml><?xml version="1.0" encoding="utf-8"?>
<Properties xmlns="http://schemas.openxmlformats.org/officeDocument/2006/custom-properties" xmlns:vt="http://schemas.openxmlformats.org/officeDocument/2006/docPropsVTypes"/>
</file>