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9" w:name="Xf8bacd5c8fc41f51fcac3587ec5c7e106dfbca5"/>
    <w:p>
      <w:pPr>
        <w:pStyle w:val="Heading1"/>
      </w:pPr>
      <w:r>
        <w:t xml:space="preserve">Comprehensive Sales Report: Accountant Performance Evaluation for São Paulo, Brazil</w:t>
      </w:r>
    </w:p>
    <w:bookmarkStart w:id="28" w:name="X65586dbd48004ea9717ed843dd06f766adb7cc6"/>
    <w:p>
      <w:pPr>
        <w:pStyle w:val="Heading2"/>
      </w:pPr>
      <w:r>
        <w:t xml:space="preserve">Prepared For: Finance Leadership Team | Date: October 26, 2023 | Region: Brazil São Paulo</w:t>
      </w:r>
    </w:p>
    <w:bookmarkStart w:id="20" w:name="executive-summary"/>
    <w:p>
      <w:pPr>
        <w:pStyle w:val="Heading3"/>
      </w:pPr>
      <w:r>
        <w:t xml:space="preserve">Executive Summary</w:t>
      </w:r>
    </w:p>
    <w:p>
      <w:pPr>
        <w:pStyle w:val="FirstParagraph"/>
      </w:pPr>
      <w:r>
        <w:t xml:space="preserve">This report presents a detailed analysis of sales performance metrics and financial operations within the São Paulo accounting division. As Brazil's largest economic hub, São Paulo demands exceptional precision from our Accountant team to navigate complex tax regulations, currency fluctuations, and dynamic market conditions. Our analysis reveals a 12% year-over-year growth in client acquisition but highlights critical opportunities for enhancing sales efficiency through localized financial strategies. This document serves as the definitive Sales Report for the Accountant department operating across São Paulo's diverse commercial landscape.</w:t>
      </w:r>
    </w:p>
    <w:bookmarkEnd w:id="20"/>
    <w:bookmarkStart w:id="21" w:name="Xd363452d816eddd78b89c139a27fe15780439cb"/>
    <w:p>
      <w:pPr>
        <w:pStyle w:val="Heading3"/>
      </w:pPr>
      <w:r>
        <w:t xml:space="preserve">Regional Context: São Paulo Market Dynamics</w:t>
      </w:r>
    </w:p>
    <w:p>
      <w:pPr>
        <w:pStyle w:val="FirstParagraph"/>
      </w:pPr>
      <w:r>
        <w:t xml:space="preserve">São Paulo accounts for 30% of Brazil's GDP and hosts 14.2 million residents with 78,000 active businesses. As the nation's financial capital, it operates under stringent fiscal regulations including ISS (Service Tax), ICMS (State VAT), and the complex Lucro Presumido tax regime. Our Accountant team must simultaneously manage these complexities while delivering sales-focused financial solutions. The São Paulo market demands accountants who understand local nuances—from favela-based SMEs to multinational headquarters in Itaim Bibi—requiring tailored Sales Report methodologies that reflect regional economic realities.</w:t>
      </w:r>
    </w:p>
    <w:bookmarkEnd w:id="21"/>
    <w:bookmarkStart w:id="22" w:name="key-performance-metrics-q3-2023"/>
    <w:p>
      <w:pPr>
        <w:pStyle w:val="Heading3"/>
      </w:pPr>
      <w:r>
        <w:t xml:space="preserve">Key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Client Acquisition Rate (São Paulo)</w:t>
      </w:r>
    </w:p>
    <w:p>
      <w:pPr>
        <w:pStyle w:val="BodyText"/>
      </w:pPr>
      <w:r>
        <w:t xml:space="preserve">24%</w:t>
      </w:r>
    </w:p>
    <w:p>
      <w:pPr>
        <w:pStyle w:val="BodyText"/>
      </w:pPr>
      <w:r>
        <w:t xml:space="preserve">28.7%</w:t>
      </w:r>
    </w:p>
    <w:p>
      <w:pPr>
        <w:pStyle w:val="BodyText"/>
      </w:pPr>
      <w:r>
        <w:t xml:space="preserve">+4.7%↑</w:t>
      </w:r>
    </w:p>
    <w:p>
      <w:pPr>
        <w:pStyle w:val="BodyText"/>
      </w:pPr>
      <w:r>
        <w:t xml:space="preserve">Accountant Client Retention</w:t>
      </w:r>
    </w:p>
    <w:p>
      <w:pPr>
        <w:pStyle w:val="BodyText"/>
      </w:pPr>
      <w:r>
        <w:t xml:space="preserve">85%91.3%+6.3%↑</w:t>
      </w:r>
    </w:p>
    <w:p>
      <w:pPr>
        <w:pStyle w:val="BodyText"/>
      </w:pPr>
      <w:r>
        <w:t xml:space="preserve">Average Revenue Per Accountant (ARPA)</w:t>
      </w:r>
    </w:p>
    <w:p>
      <w:pPr>
        <w:pStyle w:val="BodyText"/>
      </w:pPr>
      <w:r>
        <w:t xml:space="preserve">R$ 42,500</w:t>
      </w:r>
    </w:p>
    <w:p>
      <w:pPr>
        <w:pStyle w:val="BodyText"/>
      </w:pPr>
      <w:r>
        <w:t xml:space="preserve">R$ 47,800</w:t>
      </w:r>
    </w:p>
    <w:p>
      <w:pPr>
        <w:pStyle w:val="BodyText"/>
      </w:pPr>
      <w:r>
        <w:t xml:space="preserve">+12.5%↑</w:t>
      </w:r>
    </w:p>
    <w:p>
      <w:pPr>
        <w:pStyle w:val="BodyText"/>
      </w:pPr>
      <w:r>
        <w:t xml:space="preserve">Compliance-Related Sales Conversion</w:t>
      </w:r>
    </w:p>
    <w:p>
      <w:pPr>
        <w:pStyle w:val="BodyText"/>
      </w:pPr>
      <w:r>
        <w:t xml:space="preserve">65%73.6%+8.6%↑</w:t>
      </w:r>
    </w:p>
    <w:p>
      <w:pPr>
        <w:pStyle w:val="BodyText"/>
      </w:pPr>
      <w:r>
        <w:t xml:space="preserve">São Paulo Market Share Growth</w:t>
      </w:r>
    </w:p>
    <w:p>
      <w:pPr>
        <w:pStyle w:val="BodyText"/>
      </w:pPr>
      <w:r>
        <w:t xml:space="preserve">4.2%5.9%+1.7%↑</w:t>
      </w:r>
    </w:p>
    <w:bookmarkEnd w:id="22"/>
    <w:bookmarkStart w:id="23" w:name="X5f696c124024f10df21de68757653ff4b96e418"/>
    <w:p>
      <w:pPr>
        <w:pStyle w:val="Heading3"/>
      </w:pPr>
      <w:r>
        <w:t xml:space="preserve">Accountant Performance Breakdown: São Paulo Focus</w:t>
      </w:r>
    </w:p>
    <w:p>
      <w:pPr>
        <w:pStyle w:val="FirstParagraph"/>
      </w:pPr>
      <w:r>
        <w:t xml:space="preserve">The São Paulo Accountant team achieved remarkable results by implementing region-specific sales strategies. Key drivers include:</w:t>
      </w:r>
    </w:p>
    <w:p>
      <w:pPr>
        <w:numPr>
          <w:ilvl w:val="0"/>
          <w:numId w:val="1001"/>
        </w:numPr>
        <w:pStyle w:val="Compact"/>
      </w:pPr>
      <w:r>
        <w:rPr>
          <w:bCs/>
          <w:b/>
        </w:rPr>
        <w:t xml:space="preserve">Localized Tax Advisory:</w:t>
      </w:r>
      <w:r>
        <w:t xml:space="preserve"> </w:t>
      </w:r>
      <w:r>
        <w:t xml:space="preserve">Accountants developed ICMS optimization packages for retail clients, generating R$ 12.4M in annual savings for 320 businesses—a direct catalyst for sales conversions.</w:t>
      </w:r>
    </w:p>
    <w:p>
      <w:pPr>
        <w:numPr>
          <w:ilvl w:val="0"/>
          <w:numId w:val="1001"/>
        </w:numPr>
        <w:pStyle w:val="Compact"/>
      </w:pPr>
      <w:r>
        <w:rPr>
          <w:bCs/>
          <w:b/>
        </w:rPr>
        <w:t xml:space="preserve">Digital Sales Channels:</w:t>
      </w:r>
      <w:r>
        <w:t xml:space="preserve"> </w:t>
      </w:r>
      <w:r>
        <w:t xml:space="preserve">68% of new contracts originated through our São Paulo-exclusive "TaxTech Hub" platform, which integrated real-time SISCOMEX (export/import) data to accelerate sales cycles by 40%.</w:t>
      </w:r>
    </w:p>
    <w:p>
      <w:pPr>
        <w:numPr>
          <w:ilvl w:val="0"/>
          <w:numId w:val="1001"/>
        </w:numPr>
        <w:pStyle w:val="Compact"/>
      </w:pPr>
      <w:r>
        <w:rPr>
          <w:bCs/>
          <w:b/>
        </w:rPr>
        <w:t xml:space="preserve">Industry-Specific Solutions:</w:t>
      </w:r>
      <w:r>
        <w:t xml:space="preserve"> </w:t>
      </w:r>
      <w:r>
        <w:t xml:space="preserve">Accountants targeting the automotive cluster in Osasco achieved 35% higher conversion rates by customizing Sales Reports with FAPESP research data on vehicle tax incentives.</w:t>
      </w:r>
    </w:p>
    <w:bookmarkEnd w:id="23"/>
    <w:bookmarkStart w:id="24" w:name="X218e78b45234fc416d74f5a0225690372808a31"/>
    <w:p>
      <w:pPr>
        <w:pStyle w:val="Heading3"/>
      </w:pPr>
      <w:r>
        <w:t xml:space="preserve">Challenges Impacting Sales Report Accuracy in Brazil São Paulo</w:t>
      </w:r>
    </w:p>
    <w:p>
      <w:pPr>
        <w:pStyle w:val="FirstParagraph"/>
      </w:pPr>
      <w:r>
        <w:t xml:space="preserve">Despite strong performance, three critical challenges require immediate attention:</w:t>
      </w:r>
    </w:p>
    <w:p>
      <w:pPr>
        <w:numPr>
          <w:ilvl w:val="0"/>
          <w:numId w:val="1002"/>
        </w:numPr>
        <w:pStyle w:val="Compact"/>
      </w:pPr>
      <w:r>
        <w:rPr>
          <w:bCs/>
          <w:b/>
        </w:rPr>
        <w:t xml:space="preserve">Regulatory Fragmentation:</w:t>
      </w:r>
      <w:r>
        <w:t xml:space="preserve"> </w:t>
      </w:r>
      <w:r>
        <w:t xml:space="preserve">São Paulo's 176 municipalities impose varying ISS rates. Accountant teams spend 22% of sales time resolving compliance ambiguities rather than closing deals.</w:t>
      </w:r>
    </w:p>
    <w:p>
      <w:pPr>
        <w:numPr>
          <w:ilvl w:val="0"/>
          <w:numId w:val="1002"/>
        </w:numPr>
        <w:pStyle w:val="Compact"/>
      </w:pPr>
      <w:r>
        <w:rPr>
          <w:bCs/>
          <w:b/>
        </w:rPr>
        <w:t xml:space="preserve">Currency Volatility:</w:t>
      </w:r>
      <w:r>
        <w:t xml:space="preserve"> </w:t>
      </w:r>
      <w:r>
        <w:t xml:space="preserve">The BRL/USD fluctuation (8.3-9.1 rate swings in Q3) complicates pricing strategies for international clients, reducing 14% of potential high-value contracts.</w:t>
      </w:r>
    </w:p>
    <w:p>
      <w:pPr>
        <w:numPr>
          <w:ilvl w:val="0"/>
          <w:numId w:val="1002"/>
        </w:numPr>
        <w:pStyle w:val="Compact"/>
      </w:pPr>
      <w:r>
        <w:rPr>
          <w:bCs/>
          <w:b/>
        </w:rPr>
        <w:t xml:space="preserve">Client Expectation Gap:</w:t>
      </w:r>
      <w:r>
        <w:t xml:space="preserve"> </w:t>
      </w:r>
      <w:r>
        <w:t xml:space="preserve">63% of new clients expect "real-time financial visibility" not currently offered. Accountants require enhanced Salesforce integrations with Receita Federal (Brazilian Tax Authority) APIs.</w:t>
      </w:r>
    </w:p>
    <w:bookmarkEnd w:id="24"/>
    <w:bookmarkStart w:id="25" w:name="Xbb526302ff09b6abb5acce4473a0c3e2326ecdb"/>
    <w:p>
      <w:pPr>
        <w:pStyle w:val="Heading3"/>
      </w:pPr>
      <w:r>
        <w:t xml:space="preserve">Sales Report Innovation: São Paulo-Specific Solutions</w:t>
      </w:r>
    </w:p>
    <w:p>
      <w:pPr>
        <w:pStyle w:val="FirstParagraph"/>
      </w:pPr>
      <w:r>
        <w:t xml:space="preserve">Our Accountant team introduced three transformative strategies for the Brazil São Paulo market:</w:t>
      </w:r>
    </w:p>
    <w:p>
      <w:pPr>
        <w:numPr>
          <w:ilvl w:val="0"/>
          <w:numId w:val="1003"/>
        </w:numPr>
        <w:pStyle w:val="Compact"/>
      </w:pPr>
      <w:r>
        <w:rPr>
          <w:bCs/>
          <w:b/>
        </w:rPr>
        <w:t xml:space="preserve">Proactive Compliance Alerts:</w:t>
      </w:r>
      <w:r>
        <w:t xml:space="preserve"> </w:t>
      </w:r>
      <w:r>
        <w:t xml:space="preserve">System that flags ICMS rate changes 14 days before implementation. Reduced client churn by 27% and became a key differentiator in Sales Reports.</w:t>
      </w:r>
    </w:p>
    <w:p>
      <w:pPr>
        <w:numPr>
          <w:ilvl w:val="0"/>
          <w:numId w:val="1003"/>
        </w:numPr>
        <w:pStyle w:val="Compact"/>
      </w:pPr>
      <w:r>
        <w:rPr>
          <w:bCs/>
          <w:b/>
        </w:rPr>
        <w:t xml:space="preserve">São Paulo Economic Pulse Dashboard:</w:t>
      </w:r>
      <w:r>
        <w:t xml:space="preserve"> </w:t>
      </w:r>
      <w:r>
        <w:t xml:space="preserve">Real-time visualization of GDP trends, retail foot traffic (via Google Mobility), and municipal tax policy shifts—used by Accountants to tailor sales pitches with hyperlocal data.</w:t>
      </w:r>
    </w:p>
    <w:p>
      <w:pPr>
        <w:numPr>
          <w:ilvl w:val="0"/>
          <w:numId w:val="1003"/>
        </w:numPr>
        <w:pStyle w:val="Compact"/>
      </w:pPr>
      <w:r>
        <w:rPr>
          <w:bCs/>
          <w:b/>
        </w:rPr>
        <w:t xml:space="preserve">Multi-Channel Closing Protocol:</w:t>
      </w:r>
      <w:r>
        <w:t xml:space="preserve"> </w:t>
      </w:r>
      <w:r>
        <w:t xml:space="preserve">Hybrid approach combining in-person meetings at Jardins offices with digital Sales Reports via WhatsApp Business (used by 92% of São Paulo clients for approvals).</w:t>
      </w:r>
    </w:p>
    <w:bookmarkEnd w:id="25"/>
    <w:bookmarkStart w:id="26" w:name="X709850e5bb814bafe3f1cf421fc1de4f9a4656e"/>
    <w:p>
      <w:pPr>
        <w:pStyle w:val="Heading3"/>
      </w:pPr>
      <w:r>
        <w:t xml:space="preserve">Recommendations for Accountant Sales Optimization</w:t>
      </w:r>
    </w:p>
    <w:p>
      <w:pPr>
        <w:pStyle w:val="FirstParagraph"/>
      </w:pPr>
      <w:r>
        <w:t xml:space="preserve">To sustain growth in Brazil São Paulo, we propose:</w:t>
      </w:r>
    </w:p>
    <w:p>
      <w:pPr>
        <w:numPr>
          <w:ilvl w:val="0"/>
          <w:numId w:val="1004"/>
        </w:numPr>
        <w:pStyle w:val="Compact"/>
      </w:pPr>
      <w:r>
        <w:rPr>
          <w:bCs/>
          <w:b/>
        </w:rPr>
        <w:t xml:space="preserve">Invest in Municipal Tax Intelligence Unit:</w:t>
      </w:r>
      <w:r>
        <w:t xml:space="preserve"> </w:t>
      </w:r>
      <w:r>
        <w:t xml:space="preserve">Dedicate 5 Accountants to monitor all 176 São Paulo municipalities' tax policies, directly feeding into Sales Reports to prevent compliance-related sales loss.</w:t>
      </w:r>
    </w:p>
    <w:p>
      <w:pPr>
        <w:numPr>
          <w:ilvl w:val="0"/>
          <w:numId w:val="1004"/>
        </w:numPr>
        <w:pStyle w:val="Compact"/>
      </w:pPr>
      <w:r>
        <w:rPr>
          <w:bCs/>
          <w:b/>
        </w:rPr>
        <w:t xml:space="preserve">Implement AI-Powered Pricing Engine:</w:t>
      </w:r>
      <w:r>
        <w:t xml:space="preserve"> </w:t>
      </w:r>
      <w:r>
        <w:t xml:space="preserve">Develop a tool predicting optimal pricing based on BRL volatility, client industry, and municipal risk scores—reducing average sales cycle from 32 to 19 days.</w:t>
      </w:r>
    </w:p>
    <w:p>
      <w:pPr>
        <w:numPr>
          <w:ilvl w:val="0"/>
          <w:numId w:val="1004"/>
        </w:numPr>
        <w:pStyle w:val="Compact"/>
      </w:pPr>
      <w:r>
        <w:rPr>
          <w:bCs/>
          <w:b/>
        </w:rPr>
        <w:t xml:space="preserve">Create "São Paulo Sales Playbook":</w:t>
      </w:r>
      <w:r>
        <w:t xml:space="preserve"> </w:t>
      </w:r>
      <w:r>
        <w:t xml:space="preserve">Codify best practices for high-value sectors (automotive: 28% of revenue; fashion: 19%; tech: 15%) into a mandatory Accountant training module by Q1 2024.</w:t>
      </w:r>
    </w:p>
    <w:bookmarkEnd w:id="26"/>
    <w:bookmarkStart w:id="27" w:name="X7ffaf510e26c831318d9c117887d5147c0829f8"/>
    <w:p>
      <w:pPr>
        <w:pStyle w:val="Heading3"/>
      </w:pPr>
      <w:r>
        <w:t xml:space="preserve">Conclusion: The Strategic Imperative for Accountants in Brazil São Paulo</w:t>
      </w:r>
    </w:p>
    <w:p>
      <w:pPr>
        <w:pStyle w:val="FirstParagraph"/>
      </w:pPr>
      <w:r>
        <w:t xml:space="preserve">São Paulo remains the cornerstone of our Brazilian operations, demanding that every Sales Report transcends mere financial data to become a strategic sales catalyst. Our Accountant team's performance demonstrates exceptional adaptability to this complex market—outperforming national averages in client acquisition and retention by 12-18 percentage points. However, to fully capitalize on São Paulo's economic potential (projected 3.7% GDP growth in 2024), we must elevate Accountants from financial technicians to sales architects who leverage Brazil-specific regulatory knowledge as their primary competitive advantage.</w:t>
      </w:r>
    </w:p>
    <w:p>
      <w:pPr>
        <w:pStyle w:val="BodyText"/>
      </w:pPr>
      <w:r>
        <w:t xml:space="preserve">As the largest business center in Latin America, São Paulo doesn't just require accurate books—it demands Accountant-led solutions that anticipate market shifts. The Sales Report presented here is not merely an assessment of past performance; it's a blueprint for transforming our São Paulo operations into the benchmark for all Brazilian markets. Our next quarterly report will measure implementation success of the Municipal Tax Intelligence Unit and AI Pricing Engine, ensuring every Accountant in Brazil São Paulo contributes to revenue growth while mastering the nation's most complex financial landscape.</w:t>
      </w:r>
    </w:p>
    <w:p>
      <w:pPr>
        <w:pStyle w:val="BodyText"/>
      </w:pPr>
      <w:r>
        <w:rPr>
          <w:bCs/>
          <w:b/>
        </w:rPr>
        <w:t xml:space="preserve">Prepared By:</w:t>
      </w:r>
      <w:r>
        <w:t xml:space="preserve"> </w:t>
      </w:r>
      <w:r>
        <w:t xml:space="preserve">Maria Silva, Head of Sales Analytics | Brazil São Paulo</w:t>
      </w:r>
      <w:r>
        <w:br/>
      </w:r>
      <w:r>
        <w:rPr>
          <w:bCs/>
          <w:b/>
        </w:rPr>
        <w:t xml:space="preserve">Contact:</w:t>
      </w:r>
      <w:r>
        <w:t xml:space="preserve"> </w:t>
      </w:r>
      <w:r>
        <w:t xml:space="preserve">m.silva@financegroup.com.br | +55 11 3098-7654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Analysis - Brazil São Paulo</dc:title>
  <dc:creator/>
  <dc:language>en</dc:language>
  <cp:keywords/>
  <dcterms:created xsi:type="dcterms:W3CDTF">2026-07-23T23:58:06Z</dcterms:created>
  <dcterms:modified xsi:type="dcterms:W3CDTF">2026-07-23T23:58:06Z</dcterms:modified>
</cp:coreProperties>
</file>

<file path=docProps/custom.xml><?xml version="1.0" encoding="utf-8"?>
<Properties xmlns="http://schemas.openxmlformats.org/officeDocument/2006/custom-properties" xmlns:vt="http://schemas.openxmlformats.org/officeDocument/2006/docPropsVTypes"/>
</file>