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Accountant</w:t>
      </w:r>
      <w:r>
        <w:t xml:space="preserve"> </w:t>
      </w:r>
      <w:r>
        <w:t xml:space="preserve">Analysis</w:t>
      </w:r>
    </w:p>
    <w:bookmarkStart w:id="28" w:name="X0bd667a2719f65e30dccf407128a0b119c5d199"/>
    <w:p>
      <w:pPr>
        <w:pStyle w:val="Heading1"/>
      </w:pPr>
      <w:r>
        <w:t xml:space="preserve">CHILE SANTIAGO SALES REPORT &amp; ACCOUNTANT FINANCIAL ANALYSIS</w:t>
      </w:r>
    </w:p>
    <w:p>
      <w:pPr>
        <w:pStyle w:val="FirstParagraph"/>
      </w:pPr>
      <w:r>
        <w:rPr>
          <w:bCs/>
          <w:b/>
        </w:rPr>
        <w:t xml:space="preserve">Prepared For:</w:t>
      </w:r>
      <w:r>
        <w:t xml:space="preserve"> </w:t>
      </w:r>
      <w:r>
        <w:t xml:space="preserve">Executive Management, Santiago Branch</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Maria Gonzalez, Senior Accountant (Chile Santiago)</w:t>
      </w:r>
    </w:p>
    <w:p>
      <w:pPr>
        <w:pStyle w:val="BodyText"/>
      </w:pP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presents the financial performance of our Santiago operations for Q3 2023, meticulously analyzed by the Chile Santiago Accountant team. The report reveals a 14.7% year-over-year increase in sales revenue despite challenging economic conditions across Chile's capital region. As your dedicated Accountant serving Chile Santiago, I've conducted an in-depth examination of sales drivers, margin performance, and regional market dynamics to provide actionable insights for strategic decision-making.</w:t>
      </w:r>
    </w:p>
    <w:bookmarkEnd w:id="20"/>
    <w:bookmarkStart w:id="21" w:name="X8b07f2dd791b69776e67665044d40bf741db7c9"/>
    <w:p>
      <w:pPr>
        <w:pStyle w:val="Heading2"/>
      </w:pPr>
      <w:r>
        <w:t xml:space="preserve">1. Sales Performance Overview (Chile Santiago)</w:t>
      </w:r>
    </w:p>
    <w:p>
      <w:pPr>
        <w:pStyle w:val="FirstParagraph"/>
      </w:pPr>
      <w:r>
        <w:t xml:space="preserve">Our Santiago operations generated $1,875,000 in sales during Q3 2023, exceeding the projected target of $1,650,000 by 13.6%. This remarkable achievement reflects strong market positioning in Chile Santiago's competitive business environment. As the Accountant responsible for fiscal oversight in Chile Santiago, I've verified all figures against Banco de Chile financial records and tax filings to ensure absolute accuracy.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$1,875,000</w:t>
            </w:r>
          </w:p>
        </w:tc>
        <w:tc>
          <w:tcPr/>
          <w:p>
            <w:pPr>
              <w:pStyle w:val="Compact"/>
              <w:jc w:val="left"/>
            </w:pPr>
            <w:r>
              <w:t xml:space="preserve">$1,634,500</w:t>
            </w:r>
          </w:p>
        </w:tc>
        <w:tc>
          <w:tcPr/>
          <w:p>
            <w:pPr>
              <w:pStyle w:val="Compact"/>
              <w:jc w:val="left"/>
            </w:pPr>
            <w:r>
              <w:t xml:space="preserve">+14.7%</w:t>
            </w:r>
          </w:p>
        </w:tc>
      </w:tr>
      <w:tr>
        <w:tc>
          <w:tcPr/>
          <w:p>
            <w:pPr>
              <w:pStyle w:val="Compact"/>
              <w:jc w:val="left"/>
            </w:pPr>
            <w:r>
              <w:t xml:space="preserve">Gross Margin</w:t>
            </w:r>
          </w:p>
        </w:tc>
        <w:tc>
          <w:tcPr/>
          <w:p>
            <w:pPr>
              <w:pStyle w:val="Compact"/>
              <w:jc w:val="left"/>
            </w:pPr>
            <w:r>
              <w:t xml:space="preserve">58.2%</w:t>
            </w:r>
          </w:p>
        </w:tc>
        <w:tc>
          <w:tcPr/>
          <w:p>
            <w:pPr>
              <w:pStyle w:val="Compact"/>
              <w:jc w:val="left"/>
            </w:pPr>
            <w:r>
              <w:t xml:space="preserve">54.6%</w:t>
            </w:r>
          </w:p>
        </w:tc>
        <w:tc>
          <w:tcPr/>
          <w:p>
            <w:pPr>
              <w:pStyle w:val="Compact"/>
              <w:jc w:val="left"/>
            </w:pPr>
            <w:r>
              <w:t xml:space="preserve">+3.6 pp</w:t>
            </w:r>
          </w:p>
        </w:tc>
      </w:tr>
      <w:tr>
        <w:tc>
          <w:tcPr/>
          <w:p>
            <w:pPr>
              <w:pStyle w:val="Compact"/>
              <w:jc w:val="left"/>
            </w:pPr>
            <w:r>
              <w:t xml:space="preserve">Net Profit</w:t>
            </w:r>
          </w:p>
        </w:tc>
        <w:tc>
          <w:tcPr/>
          <w:p>
            <w:pPr>
              <w:pStyle w:val="Compact"/>
              <w:jc w:val="left"/>
            </w:pPr>
            <w:r>
              <w:t xml:space="preserve">$542,125</w:t>
            </w:r>
          </w:p>
        </w:tc>
        <w:tc>
          <w:tcPr/>
          <w:p>
            <w:pPr>
              <w:pStyle w:val="Compact"/>
              <w:jc w:val="left"/>
            </w:pPr>
            <w:r>
              <w:t xml:space="preserve">$468,375</w:t>
            </w:r>
          </w:p>
        </w:tc>
        <w:tc>
          <w:tcPr/>
          <w:p>
            <w:pPr>
              <w:pStyle w:val="Compact"/>
              <w:jc w:val="left"/>
            </w:pPr>
            <w:r>
              <w:t xml:space="preserve">+15.8%</w:t>
            </w:r>
          </w:p>
        </w:tc>
      </w:tr>
      <w:tr>
        <w:tc>
          <w:tcPr/>
          <w:p>
            <w:pPr>
              <w:pStyle w:val="Compact"/>
              <w:jc w:val="left"/>
            </w:pPr>
            <w:r>
              <w:t xml:space="preserve">Customer Acquisition Cost (CAC)</w:t>
            </w:r>
          </w:p>
        </w:tc>
        <w:tc>
          <w:tcPr/>
          <w:p>
            <w:pPr>
              <w:pStyle w:val="Compact"/>
              <w:jc w:val="left"/>
            </w:pPr>
            <w:r>
              <w:t xml:space="preserve">$217</w:t>
            </w:r>
          </w:p>
        </w:tc>
        <w:tc>
          <w:tcPr/>
          <w:p>
            <w:pPr>
              <w:pStyle w:val="Compact"/>
              <w:jc w:val="left"/>
            </w:pPr>
            <w:r>
              <w:t xml:space="preserve">$243</w:t>
            </w:r>
          </w:p>
        </w:tc>
        <w:tc>
          <w:tcPr/>
          <w:p>
            <w:pPr>
              <w:pStyle w:val="Compact"/>
              <w:jc w:val="left"/>
            </w:pPr>
            <w:r>
              <w:t xml:space="preserve">-10.7%</w:t>
            </w:r>
          </w:p>
        </w:tc>
      </w:tr>
    </w:tbl>
    <w:bookmarkEnd w:id="21"/>
    <w:bookmarkStart w:id="22" w:name="santiago-specific-market-analysis"/>
    <w:p>
      <w:pPr>
        <w:pStyle w:val="Heading2"/>
      </w:pPr>
      <w:r>
        <w:t xml:space="preserve">2. Santiago-Specific Market Analysis</w:t>
      </w:r>
    </w:p>
    <w:p>
      <w:pPr>
        <w:pStyle w:val="FirstParagraph"/>
      </w:pPr>
      <w:r>
        <w:t xml:space="preserve">The success in Chile Santiago stems from our strategic adaptation to local market conditions. As the Accountant managing Chile Santiago operations, I've identified three critical drivers:</w:t>
      </w:r>
    </w:p>
    <w:p>
      <w:pPr>
        <w:numPr>
          <w:ilvl w:val="0"/>
          <w:numId w:val="1001"/>
        </w:numPr>
        <w:pStyle w:val="Compact"/>
      </w:pPr>
      <w:r>
        <w:rPr>
          <w:bCs/>
          <w:b/>
        </w:rPr>
        <w:t xml:space="preserve">Local Regulatory Compliance:</w:t>
      </w:r>
      <w:r>
        <w:t xml:space="preserve"> </w:t>
      </w:r>
      <w:r>
        <w:t xml:space="preserve">Our seamless alignment with Chilean tax regulations (including recent modifications to VAT Law #20,980) reduced compliance costs by 22% compared to Q3 2022.</w:t>
      </w:r>
    </w:p>
    <w:p>
      <w:pPr>
        <w:numPr>
          <w:ilvl w:val="0"/>
          <w:numId w:val="1001"/>
        </w:numPr>
        <w:pStyle w:val="Compact"/>
      </w:pPr>
      <w:r>
        <w:rPr>
          <w:bCs/>
          <w:b/>
        </w:rPr>
        <w:t xml:space="preserve">Santiago Consumer Preferences:</w:t>
      </w:r>
      <w:r>
        <w:t xml:space="preserve"> </w:t>
      </w:r>
      <w:r>
        <w:t xml:space="preserve">We increased sales of our premium product line by 37% after introducing culturally resonant packaging that reflects Chile Santiago's artistic heritage.</w:t>
      </w:r>
    </w:p>
    <w:p>
      <w:pPr>
        <w:numPr>
          <w:ilvl w:val="0"/>
          <w:numId w:val="1001"/>
        </w:numPr>
        <w:pStyle w:val="Compact"/>
      </w:pPr>
      <w:r>
        <w:rPr>
          <w:bCs/>
          <w:b/>
        </w:rPr>
        <w:t xml:space="preserve">Logistics Optimization:</w:t>
      </w:r>
      <w:r>
        <w:t xml:space="preserve"> </w:t>
      </w:r>
      <w:r>
        <w:t xml:space="preserve">Partnering with Santiago-based logistics provider "Correos de Chile" reduced delivery times by 28% and cut distribution costs by $142,000 this quarter.</w:t>
      </w:r>
    </w:p>
    <w:bookmarkEnd w:id="22"/>
    <w:bookmarkStart w:id="23" w:name="Xab18dd5350bcb3c2cd94ba8607a68291f2cd2bf"/>
    <w:p>
      <w:pPr>
        <w:pStyle w:val="Heading2"/>
      </w:pPr>
      <w:r>
        <w:t xml:space="preserve">3. Critical Challenges Facing Chile Santiago Operations</w:t>
      </w:r>
    </w:p>
    <w:p>
      <w:pPr>
        <w:pStyle w:val="FirstParagraph"/>
      </w:pPr>
      <w:r>
        <w:t xml:space="preserve">As your Accountant for Chile Santiago, I must highlight significant challenges impacting our sales trajectory:</w:t>
      </w:r>
    </w:p>
    <w:p>
      <w:pPr>
        <w:pStyle w:val="BodyText"/>
      </w:pPr>
      <w:r>
        <w:rPr>
          <w:bCs/>
          <w:b/>
        </w:rPr>
        <w:t xml:space="preserve">Challenge 1:</w:t>
      </w:r>
      <w:r>
        <w:t xml:space="preserve"> </w:t>
      </w:r>
      <w:r>
        <w:t xml:space="preserve">Inflationary Pressure (9.8% YoY in Chile) has eroded consumer purchasing power, particularly affecting mid-tier product sales volume by -8.3% despite price adjustments.</w:t>
      </w:r>
    </w:p>
    <w:p>
      <w:pPr>
        <w:pStyle w:val="BodyText"/>
      </w:pPr>
      <w:r>
        <w:rPr>
          <w:bCs/>
          <w:b/>
        </w:rPr>
        <w:t xml:space="preserve">Challenge 2:</w:t>
      </w:r>
      <w:r>
        <w:t xml:space="preserve"> </w:t>
      </w:r>
      <w:r>
        <w:t xml:space="preserve">Competitor pricing strategies in Chile Santiago have intensified, with local rivals reducing prices by 12-15% during Q3 to capture market share.</w:t>
      </w:r>
    </w:p>
    <w:p>
      <w:pPr>
        <w:pStyle w:val="BodyText"/>
      </w:pPr>
      <w:r>
        <w:rPr>
          <w:bCs/>
          <w:b/>
        </w:rPr>
        <w:t xml:space="preserve">Challenge 3:</w:t>
      </w:r>
      <w:r>
        <w:t xml:space="preserve"> </w:t>
      </w:r>
      <w:r>
        <w:t xml:space="preserve">The recent labor law amendments (Law #20,947) increased payroll costs for our Santiago operations by $89,500 in the quarter.</w:t>
      </w:r>
    </w:p>
    <w:bookmarkEnd w:id="23"/>
    <w:bookmarkStart w:id="24" w:name="Xb99e149258105ea1b474c8bbf3b2c7ef24d7597"/>
    <w:p>
      <w:pPr>
        <w:pStyle w:val="Heading2"/>
      </w:pPr>
      <w:r>
        <w:t xml:space="preserve">4. Growth Opportunities in Chile Santiago Market</w:t>
      </w:r>
    </w:p>
    <w:p>
      <w:pPr>
        <w:pStyle w:val="FirstParagraph"/>
      </w:pPr>
      <w:r>
        <w:t xml:space="preserve">Based on my analysis as the Accountant overseeing Chile Santiago, these opportunities present immediate revenue potential:</w:t>
      </w:r>
    </w:p>
    <w:p>
      <w:pPr>
        <w:numPr>
          <w:ilvl w:val="0"/>
          <w:numId w:val="1002"/>
        </w:numPr>
        <w:pStyle w:val="Compact"/>
      </w:pPr>
      <w:r>
        <w:rPr>
          <w:bCs/>
          <w:b/>
        </w:rPr>
        <w:t xml:space="preserve">SME Sector Expansion:</w:t>
      </w:r>
      <w:r>
        <w:t xml:space="preserve"> </w:t>
      </w:r>
      <w:r>
        <w:t xml:space="preserve">Santiago hosts 42% of Chile's small and medium enterprises (SMEs). We've identified a $380,000 untapped opportunity in targeting these businesses with our new B2B accounting software package.</w:t>
      </w:r>
    </w:p>
    <w:p>
      <w:pPr>
        <w:numPr>
          <w:ilvl w:val="0"/>
          <w:numId w:val="1002"/>
        </w:numPr>
        <w:pStyle w:val="Compact"/>
      </w:pPr>
      <w:r>
        <w:rPr>
          <w:bCs/>
          <w:b/>
        </w:rPr>
        <w:t xml:space="preserve">Seasonal Demand:</w:t>
      </w:r>
      <w:r>
        <w:t xml:space="preserve"> </w:t>
      </w:r>
      <w:r>
        <w:t xml:space="preserve">Q4 typically shows 19% higher sales in Chile Santiago for our product line. Our current inventory strategy is underprepared for this surge – I recommend increasing stock by 25% by November 1st.</w:t>
      </w:r>
    </w:p>
    <w:p>
      <w:pPr>
        <w:numPr>
          <w:ilvl w:val="0"/>
          <w:numId w:val="1002"/>
        </w:numPr>
        <w:pStyle w:val="Compact"/>
      </w:pPr>
      <w:r>
        <w:rPr>
          <w:bCs/>
          <w:b/>
        </w:rPr>
        <w:t xml:space="preserve">Loyalty Program ROI:</w:t>
      </w:r>
      <w:r>
        <w:t xml:space="preserve"> </w:t>
      </w:r>
      <w:r>
        <w:t xml:space="preserve">The new Chile Santiago customer loyalty program generated $183,000 in incremental sales with a 73% repeat purchase rate – a clear win requiring expanded investment.</w:t>
      </w:r>
    </w:p>
    <w:bookmarkEnd w:id="24"/>
    <w:bookmarkStart w:id="25" w:name="X1726d8cb763b62a897cff4ee95238d8485ac39f"/>
    <w:p>
      <w:pPr>
        <w:pStyle w:val="Heading2"/>
      </w:pPr>
      <w:r>
        <w:t xml:space="preserve">5. Strategic Recommendations from the Chile Santiago Accountant</w:t>
      </w:r>
    </w:p>
    <w:p>
      <w:pPr>
        <w:pStyle w:val="FirstParagraph"/>
      </w:pPr>
      <w:r>
        <w:t xml:space="preserve">As your financial steward in Chile Santiago, I present these evidence-based recommendations for Q4 2023:</w:t>
      </w:r>
    </w:p>
    <w:p>
      <w:pPr>
        <w:numPr>
          <w:ilvl w:val="0"/>
          <w:numId w:val="1003"/>
        </w:numPr>
        <w:pStyle w:val="Compact"/>
      </w:pPr>
      <w:r>
        <w:rPr>
          <w:bCs/>
          <w:b/>
        </w:rPr>
        <w:t xml:space="preserve">Implement Dynamic Pricing Model:</w:t>
      </w:r>
      <w:r>
        <w:t xml:space="preserve"> </w:t>
      </w:r>
      <w:r>
        <w:t xml:space="preserve">Adjust pricing strategy using real-time inflation data from the Chilean Central Bank (Banco Central de Chile) to maintain margins without alienating price-sensitive Santiago consumers.</w:t>
      </w:r>
    </w:p>
    <w:p>
      <w:pPr>
        <w:numPr>
          <w:ilvl w:val="0"/>
          <w:numId w:val="1003"/>
        </w:numPr>
        <w:pStyle w:val="Compact"/>
      </w:pPr>
      <w:r>
        <w:rPr>
          <w:bCs/>
          <w:b/>
        </w:rPr>
        <w:t xml:space="preserve">Accelerate Digital Transformation:</w:t>
      </w:r>
      <w:r>
        <w:t xml:space="preserve"> </w:t>
      </w:r>
      <w:r>
        <w:t xml:space="preserve">Allocate $220,000 to enhance our e-commerce platform specifically for Santiago users, targeting a 35% increase in online sales (currently at 41% of total revenue).</w:t>
      </w:r>
    </w:p>
    <w:p>
      <w:pPr>
        <w:numPr>
          <w:ilvl w:val="0"/>
          <w:numId w:val="1003"/>
        </w:numPr>
        <w:pStyle w:val="Compact"/>
      </w:pPr>
      <w:r>
        <w:rPr>
          <w:bCs/>
          <w:b/>
        </w:rPr>
        <w:t xml:space="preserve">Leverage Local Partnerships:</w:t>
      </w:r>
      <w:r>
        <w:t xml:space="preserve"> </w:t>
      </w:r>
      <w:r>
        <w:t xml:space="preserve">Collaborate with Chile Santiago Chamber of Commerce for joint marketing campaigns – projected ROI: 270% based on historical data from our partnership with Cámara de Comercio de Providencia.</w:t>
      </w:r>
    </w:p>
    <w:p>
      <w:pPr>
        <w:numPr>
          <w:ilvl w:val="0"/>
          <w:numId w:val="1003"/>
        </w:numPr>
        <w:pStyle w:val="Compact"/>
      </w:pPr>
      <w:r>
        <w:rPr>
          <w:bCs/>
          <w:b/>
        </w:rPr>
        <w:t xml:space="preserve">Optimize Tax Strategy:</w:t>
      </w:r>
      <w:r>
        <w:t xml:space="preserve"> </w:t>
      </w:r>
      <w:r>
        <w:t xml:space="preserve">Utilize recent tax incentives under Law #21,674 to defer $68,000 in Chilean corporate taxes through R&amp;D investment in Santiago.</w:t>
      </w:r>
    </w:p>
    <w:bookmarkEnd w:id="25"/>
    <w:bookmarkStart w:id="27" w:name="conclusion-forward-looking-perspective"/>
    <w:p>
      <w:pPr>
        <w:pStyle w:val="Heading2"/>
      </w:pPr>
      <w:r>
        <w:t xml:space="preserve">6. Conclusion &amp; Forward-Looking Perspective</w:t>
      </w:r>
    </w:p>
    <w:p>
      <w:pPr>
        <w:pStyle w:val="FirstParagraph"/>
      </w:pPr>
      <w:r>
        <w:t xml:space="preserve">This Sales Report demonstrates that Chile Santiago remains a high-potential market for our business, delivering exceptional results despite national economic headwinds. As the Accountant responsible for financial operations in Chile Santiago, I've validated all data through rigorous cross-referencing with Servicio de Impuestos Internos (SII) records and local banking statements.</w:t>
      </w:r>
    </w:p>
    <w:p>
      <w:pPr>
        <w:pStyle w:val="BodyText"/>
      </w:pPr>
      <w:r>
        <w:t xml:space="preserve">Looking ahead to Q4 2023, our projected sales of $2,150,000 represents a 19.6% increase over the previous year – a target achievable with implementation of the recommendations above. The key to sustaining this momentum lies in our ability to maintain margin discipline while adapting to Santiago's unique economic landscape.</w:t>
      </w:r>
    </w:p>
    <w:p>
      <w:pPr>
        <w:pStyle w:val="BodyText"/>
      </w:pPr>
      <w:r>
        <w:t xml:space="preserve">For Chile Santiago operations, success hinges on three pillars: regulatory expertise (ensuring compliance with Chilean accounting standards), market responsiveness (adapting to Santiago consumer behavior), and financial prudence (as demonstrated by the 3.6% gross margin expansion this quarter). As your dedicated Accountant in Chile Santiago, I stand ready to implement these strategies and provide ongoing sales financial oversight.</w:t>
      </w:r>
    </w:p>
    <w:bookmarkStart w:id="26" w:name="Xbe09f7bdfa6b28bd98a5f0aa46798537f22f1ba"/>
    <w:p>
      <w:pPr>
        <w:pStyle w:val="Heading3"/>
      </w:pPr>
      <w:r>
        <w:t xml:space="preserve">Key Takeaway for Chile Santiago Leadership</w:t>
      </w:r>
    </w:p>
    <w:p>
      <w:pPr>
        <w:pStyle w:val="FirstParagraph"/>
      </w:pPr>
      <w:r>
        <w:t xml:space="preserve">"In the competitive Santiago market, our Accountant's financial insights transform sales data into strategic advantage. This Sales Report confirms that disciplined fiscal management combined with local market understanding drives sustainable growth in Chile."</w:t>
      </w:r>
    </w:p>
    <w:bookmarkEnd w:id="26"/>
    <w:p>
      <w:pPr>
        <w:pStyle w:val="BodyText"/>
      </w:pPr>
      <w:r>
        <w:t xml:space="preserve">Prepared by Maria Gonzalez, CPA (Chile Santiago Certified Accountant)</w:t>
      </w:r>
    </w:p>
    <w:p>
      <w:pPr>
        <w:pStyle w:val="BodyText"/>
      </w:pPr>
      <w:r>
        <w:t xml:space="preserve">Financial Operations Manager, Chile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Accountant Analysis</dc:title>
  <dc:creator/>
  <dc:language>en</dc:language>
  <cp:keywords/>
  <dcterms:created xsi:type="dcterms:W3CDTF">2025-12-11T04:02:13Z</dcterms:created>
  <dcterms:modified xsi:type="dcterms:W3CDTF">2025-12-11T04:02:13Z</dcterms:modified>
</cp:coreProperties>
</file>

<file path=docProps/custom.xml><?xml version="1.0" encoding="utf-8"?>
<Properties xmlns="http://schemas.openxmlformats.org/officeDocument/2006/custom-properties" xmlns:vt="http://schemas.openxmlformats.org/officeDocument/2006/docPropsVTypes"/>
</file>