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Guangzhou</w:t>
      </w:r>
    </w:p>
    <w:bookmarkStart w:id="27" w:name="X1c4cbef6706d12503cefbaeb826096cab38f98c"/>
    <w:p>
      <w:pPr>
        <w:pStyle w:val="Heading1"/>
      </w:pPr>
      <w:r>
        <w:t xml:space="preserve">Comprehensive Sales Report &amp; Financial Analysis: Accountant Performance in China Guangzhou Operations (Q3 2023)</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Guangzhou Regional Management, China</w:t>
      </w:r>
      <w:r>
        <w:br/>
      </w:r>
      <w:r>
        <w:rPr>
          <w:bCs/>
          <w:b/>
        </w:rPr>
        <w:t xml:space="preserve">From:</w:t>
      </w:r>
      <w:r>
        <w:t xml:space="preserve"> </w:t>
      </w:r>
      <w:r>
        <w:t xml:space="preserve">Finance &amp; Sales Performance Department</w:t>
      </w:r>
    </w:p>
    <w:bookmarkStart w:id="20" w:name="executive-summary"/>
    <w:p>
      <w:pPr>
        <w:pStyle w:val="Heading2"/>
      </w:pPr>
      <w:r>
        <w:t xml:space="preserve">Executive Summary</w:t>
      </w:r>
    </w:p>
    <w:p>
      <w:pPr>
        <w:pStyle w:val="FirstParagraph"/>
      </w:pPr>
      <w:r>
        <w:t xml:space="preserve">This Sales Report details the performance of our Accountant team within the Guangzhou commercial operations for Q3 2023. Operating in China's economic hub, Guangzhou, the Accountant function was instrumental in translating complex sales data into actionable financial insights, directly supporting regional growth targets. The report confirms a 14.7% year-on-year increase in sales revenue for our Guangzhou-based division, with the Accountant department achieving 98% accuracy in financial reporting and contributing to strategic decisions that drove this success. This document underscores the critical role of the Accountant within China Guangzhou’s dynamic export-oriented market.</w:t>
      </w:r>
    </w:p>
    <w:bookmarkEnd w:id="20"/>
    <w:bookmarkStart w:id="21" w:name="Xd58484413f96dad9e9313bb27e6d7691e832180"/>
    <w:p>
      <w:pPr>
        <w:pStyle w:val="Heading2"/>
      </w:pPr>
      <w:r>
        <w:t xml:space="preserve">China Guangzhou Market Context &amp; Sales Performance</w:t>
      </w:r>
    </w:p>
    <w:p>
      <w:pPr>
        <w:pStyle w:val="FirstParagraph"/>
      </w:pPr>
      <w:r>
        <w:t xml:space="preserve">Guangzhou, as a pivotal node in China’s Pearl River Delta trade network and home to major ports like Nansha, serves as a launchpad for exports across Southeast Asia. In Q3 2023, our Guangzhou sales channels—primarily serving electronics manufacturing clients and e-commerce platforms—achieved $18.4M in revenue, surpassing the target of $16.5M by 11.5%. This growth was fueled by a 22% surge in orders from ASEAN markets following the China-ASEAN Free Trade Agreement renewal, directly impacting sales volume tracked meticulously by our local Accountant team.</w:t>
      </w:r>
    </w:p>
    <w:bookmarkEnd w:id="21"/>
    <w:bookmarkStart w:id="22" w:name="Xf6ac7d8d1c54e3b60694235f2d462b5a62cc1ec"/>
    <w:p>
      <w:pPr>
        <w:pStyle w:val="Heading2"/>
      </w:pPr>
      <w:r>
        <w:t xml:space="preserve">The Accountant's Role: From Data to Strategic Insight</w:t>
      </w:r>
    </w:p>
    <w:p>
      <w:pPr>
        <w:pStyle w:val="FirstParagraph"/>
      </w:pPr>
      <w:r>
        <w:t xml:space="preserve">Central to this success was the proactive role of the dedicated Accountant within Guangzhou. The Accountant didn’t merely record transactions; they transformed raw sales data into strategic intelligence:</w:t>
      </w:r>
    </w:p>
    <w:p>
      <w:pPr>
        <w:numPr>
          <w:ilvl w:val="0"/>
          <w:numId w:val="1001"/>
        </w:numPr>
        <w:pStyle w:val="Compact"/>
      </w:pPr>
      <w:r>
        <w:rPr>
          <w:bCs/>
          <w:b/>
        </w:rPr>
        <w:t xml:space="preserve">Sales Commission Accuracy:</w:t>
      </w:r>
      <w:r>
        <w:t xml:space="preserve"> </w:t>
      </w:r>
      <w:r>
        <w:t xml:space="preserve">The Accountant implemented a real-time commission tracking system, ensuring 100% accuracy for 42 field sales personnel across Guangzhou, boosting morale and reducing disputes by 35%.</w:t>
      </w:r>
    </w:p>
    <w:p>
      <w:pPr>
        <w:numPr>
          <w:ilvl w:val="0"/>
          <w:numId w:val="1001"/>
        </w:numPr>
        <w:pStyle w:val="Compact"/>
      </w:pPr>
      <w:r>
        <w:rPr>
          <w:bCs/>
          <w:b/>
        </w:rPr>
        <w:t xml:space="preserve">VAT &amp; Tax Compliance Analysis:</w:t>
      </w:r>
      <w:r>
        <w:t xml:space="preserve"> </w:t>
      </w:r>
      <w:r>
        <w:t xml:space="preserve">With China’s evolving VAT regulations impacting export margins, the Accountant identified a $128K opportunity in tax-efficient reclassification of goods shipped to Vietnam, directly improving Q3 net profit.</w:t>
      </w:r>
    </w:p>
    <w:p>
      <w:pPr>
        <w:numPr>
          <w:ilvl w:val="0"/>
          <w:numId w:val="1001"/>
        </w:numPr>
        <w:pStyle w:val="Compact"/>
      </w:pPr>
      <w:r>
        <w:rPr>
          <w:bCs/>
          <w:b/>
        </w:rPr>
        <w:t xml:space="preserve">Regional Sales Forecasting:</w:t>
      </w:r>
      <w:r>
        <w:t xml:space="preserve"> </w:t>
      </w:r>
      <w:r>
        <w:t xml:space="preserve">By analyzing historical Guangzhou sales patterns (e.g., post-Expo demand spikes), the Accountant provided predictive insights that guided inventory allocation, reducing stockouts by 28% during the peak festival season.</w:t>
      </w:r>
    </w:p>
    <w:bookmarkEnd w:id="22"/>
    <w:bookmarkStart w:id="23" w:name="X5d4dc13cc1b4aee7cf8cc8924cee7a4f3095f01"/>
    <w:p>
      <w:pPr>
        <w:pStyle w:val="Heading2"/>
      </w:pPr>
      <w:r>
        <w:t xml:space="preserve">Sales Report: Key Metrics &amp; Accountant-Driven Improvements</w:t>
      </w:r>
    </w:p>
    <w:p>
      <w:pPr>
        <w:pStyle w:val="FirstParagraph"/>
      </w:pPr>
      <w:r>
        <w:t xml:space="preserve">The following metrics highlight how the Accountant’s work directly enhanced sales outcomes in China Guangzhou:</w:t>
      </w:r>
    </w:p>
    <w:p>
      <w:pPr>
        <w:pStyle w:val="BodyText"/>
      </w:pPr>
      <w:r>
        <w:t xml:space="preserve">Performance Metric</w:t>
      </w:r>
    </w:p>
    <w:p>
      <w:pPr>
        <w:pStyle w:val="BodyText"/>
      </w:pPr>
      <w:r>
        <w:t xml:space="preserve">Q3 2023 Target</w:t>
      </w:r>
    </w:p>
    <w:p>
      <w:pPr>
        <w:pStyle w:val="BodyText"/>
      </w:pPr>
      <w:r>
        <w:t xml:space="preserve">Actual Result</w:t>
      </w:r>
    </w:p>
    <w:p>
      <w:pPr>
        <w:pStyle w:val="BodyText"/>
      </w:pPr>
      <w:r>
        <w:t xml:space="preserve">% Variance</w:t>
      </w:r>
    </w:p>
    <w:p>
      <w:pPr>
        <w:pStyle w:val="BodyText"/>
      </w:pPr>
      <w:r>
        <w:t xml:space="preserve">Accountant Contribution (Key Action)</w:t>
      </w:r>
    </w:p>
    <w:p>
      <w:pPr>
        <w:pStyle w:val="BodyText"/>
      </w:pPr>
      <w:r>
        <w:t xml:space="preserve">Sales Revenue (USD)</w:t>
      </w:r>
    </w:p>
    <w:p>
      <w:pPr>
        <w:pStyle w:val="BodyText"/>
      </w:pPr>
      <w:r>
        <w:t xml:space="preserve">$16,500,000</w:t>
      </w:r>
    </w:p>
    <w:p>
      <w:pPr>
        <w:pStyle w:val="BodyText"/>
      </w:pPr>
      <w:r>
        <w:t xml:space="preserve">$18,424,350</w:t>
      </w:r>
    </w:p>
    <w:p>
      <w:pPr>
        <w:pStyle w:val="BodyText"/>
      </w:pPr>
      <w:r>
        <w:t xml:space="preserve">+11.7%</w:t>
      </w:r>
    </w:p>
    <w:p>
      <w:pPr>
        <w:pStyle w:val="BodyText"/>
      </w:pPr>
      <w:r>
        <w:t xml:space="preserve">Optimized VAT refund process for export clients</w:t>
      </w:r>
    </w:p>
    <w:p>
      <w:pPr>
        <w:pStyle w:val="BodyText"/>
      </w:pPr>
      <w:r>
        <w:t xml:space="preserve">Customer Acquisition Cost (CAC)</w:t>
      </w:r>
    </w:p>
    <w:p>
      <w:pPr>
        <w:pStyle w:val="BodyText"/>
      </w:pPr>
      <w:r>
        <w:t xml:space="preserve">$850</w:t>
      </w:r>
    </w:p>
    <w:p>
      <w:pPr>
        <w:pStyle w:val="BodyText"/>
      </w:pPr>
      <w:r>
        <w:t xml:space="preserve">$792</w:t>
      </w:r>
    </w:p>
    <w:p>
      <w:pPr>
        <w:pStyle w:val="BodyText"/>
      </w:pPr>
      <w:r>
        <w:t xml:space="preserve">Average Collection Period (Days)</w:t>
      </w:r>
    </w:p>
    <w:p>
      <w:pPr>
        <w:pStyle w:val="BodyText"/>
      </w:pPr>
      <w:r>
        <w:t xml:space="preserve">45 Days</w:t>
      </w:r>
    </w:p>
    <w:p>
      <w:pPr>
        <w:pStyle w:val="BodyText"/>
      </w:pPr>
      <w:r>
        <w:t xml:space="preserve">38 Days</w:t>
      </w:r>
    </w:p>
    <w:p>
      <w:pPr>
        <w:pStyle w:val="BodyText"/>
      </w:pPr>
      <w:r>
        <w:t xml:space="preserve">The Accountant’s analysis of the Average Collection Period revealed that late payments from a key Guangzhou distributor were inflating DSO. By negotiating revised payment terms via data-backed financial reports, the Accountant shortened collections by 7 days, freeing up $1.2M in working capital for Q4 sales campaigns.</w:t>
      </w:r>
    </w:p>
    <w:bookmarkEnd w:id="23"/>
    <w:bookmarkStart w:id="24" w:name="X9ea85f20aea4ab8130c4fd70e661170b16aedb1"/>
    <w:p>
      <w:pPr>
        <w:pStyle w:val="Heading2"/>
      </w:pPr>
      <w:r>
        <w:t xml:space="preserve">China Guangzhou-Specific Challenges &amp; Accounting Solutions</w:t>
      </w:r>
    </w:p>
    <w:p>
      <w:pPr>
        <w:pStyle w:val="FirstParagraph"/>
      </w:pPr>
      <w:r>
        <w:t xml:space="preserve">Operating within China Guangzhou presents unique challenges requiring specialized accounting expertise:</w:t>
      </w:r>
    </w:p>
    <w:p>
      <w:pPr>
        <w:numPr>
          <w:ilvl w:val="0"/>
          <w:numId w:val="1002"/>
        </w:numPr>
        <w:pStyle w:val="Compact"/>
      </w:pPr>
      <w:r>
        <w:rPr>
          <w:bCs/>
          <w:b/>
        </w:rPr>
        <w:t xml:space="preserve">Currency Volatility:</w:t>
      </w:r>
      <w:r>
        <w:t xml:space="preserve"> </w:t>
      </w:r>
      <w:r>
        <w:t xml:space="preserve">The Accountant utilized real-time FX tracking tools to adjust sales contracts for USD/CNY fluctuations, protecting $450K in expected revenue from a major contract.</w:t>
      </w:r>
    </w:p>
    <w:p>
      <w:pPr>
        <w:numPr>
          <w:ilvl w:val="0"/>
          <w:numId w:val="1002"/>
        </w:numPr>
        <w:pStyle w:val="Compact"/>
      </w:pPr>
      <w:r>
        <w:rPr>
          <w:bCs/>
          <w:b/>
        </w:rPr>
        <w:t xml:space="preserve">Local Compliance (GAAP + China Regulations):</w:t>
      </w:r>
      <w:r>
        <w:t xml:space="preserve"> </w:t>
      </w:r>
      <w:r>
        <w:t xml:space="preserve">Navigating the intersection of international accounting standards and Chinese tax law (e.g., 6% VAT on digital services), the Accountant ensured all Guangzhou sales reports met both IFRS and local requirements, avoiding regulatory penalties.</w:t>
      </w:r>
    </w:p>
    <w:p>
      <w:pPr>
        <w:numPr>
          <w:ilvl w:val="0"/>
          <w:numId w:val="1002"/>
        </w:numPr>
        <w:pStyle w:val="Compact"/>
      </w:pPr>
      <w:r>
        <w:rPr>
          <w:bCs/>
          <w:b/>
        </w:rPr>
        <w:t xml:space="preserve">Digital Integration:</w:t>
      </w:r>
      <w:r>
        <w:t xml:space="preserve"> </w:t>
      </w:r>
      <w:r>
        <w:t xml:space="preserve">The Accountant spearheaded integration of our ERP system with Guangzhou’s electronic invoicing platform (e-invoice portal), cutting invoice processing time from 7 days to 12 hours and accelerating sales recognition.</w:t>
      </w:r>
    </w:p>
    <w:bookmarkEnd w:id="24"/>
    <w:bookmarkStart w:id="25" w:name="recommendations-for-q4-beyond"/>
    <w:p>
      <w:pPr>
        <w:pStyle w:val="Heading2"/>
      </w:pPr>
      <w:r>
        <w:t xml:space="preserve">Recommendations for Q4 &amp; Beyond</w:t>
      </w:r>
    </w:p>
    <w:p>
      <w:pPr>
        <w:pStyle w:val="FirstParagraph"/>
      </w:pPr>
      <w:r>
        <w:t xml:space="preserve">To sustain momentum in China Guangzhou, the Accountant team proposes:</w:t>
      </w:r>
    </w:p>
    <w:p>
      <w:pPr>
        <w:numPr>
          <w:ilvl w:val="0"/>
          <w:numId w:val="1003"/>
        </w:numPr>
        <w:pStyle w:val="Compact"/>
      </w:pPr>
      <w:r>
        <w:t xml:space="preserve">Expand predictive analytics using Guangzhou’s trade fair data (e.g., Canton Fair) to forecast Q4 sales spikes.</w:t>
      </w:r>
    </w:p>
    <w:p>
      <w:pPr>
        <w:numPr>
          <w:ilvl w:val="0"/>
          <w:numId w:val="1003"/>
        </w:numPr>
        <w:pStyle w:val="Compact"/>
      </w:pPr>
      <w:r>
        <w:t xml:space="preserve">Implement blockchain for sales contract verification with ASEAN partners, enhancing trust and reducing fraud risks—a priority in China Guangzhou’s high-volume export environment.</w:t>
      </w:r>
    </w:p>
    <w:p>
      <w:pPr>
        <w:numPr>
          <w:ilvl w:val="0"/>
          <w:numId w:val="1003"/>
        </w:numPr>
        <w:pStyle w:val="Compact"/>
      </w:pPr>
      <w:r>
        <w:t xml:space="preserve">Train junior Accountants on Guangzhou-specific customs regulations to further optimize cost structures for sales teams.</w:t>
      </w:r>
    </w:p>
    <w:bookmarkEnd w:id="25"/>
    <w:bookmarkStart w:id="26" w:name="conclusion"/>
    <w:p>
      <w:pPr>
        <w:pStyle w:val="Heading2"/>
      </w:pPr>
      <w:r>
        <w:t xml:space="preserve">Conclusion</w:t>
      </w:r>
    </w:p>
    <w:p>
      <w:pPr>
        <w:pStyle w:val="FirstParagraph"/>
      </w:pPr>
      <w:r>
        <w:t xml:space="preserve">This Sales Report unequivocally demonstrates that the Accountant is not a back-office function but the strategic engine driving sales success in China Guangzhou. Through meticulous financial analysis, regulatory navigation, and data-driven recommendations, the Accountant team directly contributed to exceeding revenue targets while ensuring compliance within one of China’s most competitive commercial ecosystems. As Guangzhou continues to evolve as a global trade nexus, investing in Accountant expertise—rooted in local market knowledge—will remain paramount for sustained sales growth. The financial accuracy and strategic insights provided by the Accountant were not just supportive; they were decisive factors behind this quarter's achievements.</w:t>
      </w:r>
    </w:p>
    <w:p>
      <w:pPr>
        <w:pStyle w:val="BodyText"/>
      </w:pPr>
      <w:r>
        <w:rPr>
          <w:bCs/>
          <w:b/>
        </w:rPr>
        <w:t xml:space="preserve">Prepared by:</w:t>
      </w:r>
      <w:r>
        <w:t xml:space="preserve"> </w:t>
      </w:r>
      <w:r>
        <w:t xml:space="preserve">Finance &amp; Sales Analytics Department</w:t>
      </w:r>
      <w:r>
        <w:br/>
      </w:r>
      <w:r>
        <w:rPr>
          <w:bCs/>
          <w:b/>
        </w:rPr>
        <w:t xml:space="preserve">Location:</w:t>
      </w:r>
      <w:r>
        <w:t xml:space="preserve"> </w:t>
      </w:r>
      <w:r>
        <w:t xml:space="preserve">China Guangzhou, Guangdong Province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Performance &amp; Market Analysis - China Guangzhou</dc:title>
  <dc:creator/>
  <dc:language>en</dc:language>
  <cp:keywords/>
  <dcterms:created xsi:type="dcterms:W3CDTF">2026-07-23T13:00:46Z</dcterms:created>
  <dcterms:modified xsi:type="dcterms:W3CDTF">2026-07-23T13:00:46Z</dcterms:modified>
</cp:coreProperties>
</file>

<file path=docProps/custom.xml><?xml version="1.0" encoding="utf-8"?>
<Properties xmlns="http://schemas.openxmlformats.org/officeDocument/2006/custom-properties" xmlns:vt="http://schemas.openxmlformats.org/officeDocument/2006/docPropsVTypes"/>
</file>