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Accountant's</w:t>
      </w:r>
      <w:r>
        <w:t xml:space="preserve"> </w:t>
      </w:r>
      <w:r>
        <w:t xml:space="preserve">Sales</w:t>
      </w:r>
      <w:r>
        <w:t xml:space="preserve"> </w:t>
      </w:r>
      <w:r>
        <w:t xml:space="preserve">Performance</w:t>
      </w:r>
      <w:r>
        <w:t xml:space="preserve"> </w:t>
      </w:r>
      <w:r>
        <w:t xml:space="preserve">Report:</w:t>
      </w:r>
      <w:r>
        <w:t xml:space="preserve"> </w:t>
      </w:r>
      <w:r>
        <w:t xml:space="preserve">Shanghai</w:t>
      </w:r>
      <w:r>
        <w:t xml:space="preserve"> </w:t>
      </w:r>
      <w:r>
        <w:t xml:space="preserve">Market</w:t>
      </w:r>
      <w:r>
        <w:t xml:space="preserve"> </w:t>
      </w:r>
      <w:r>
        <w:t xml:space="preserve">Analysis</w:t>
      </w:r>
    </w:p>
    <w:bookmarkStart w:id="32" w:name="Xfd6ee1f6a8852b915dc33c1d41941846d4984da"/>
    <w:p>
      <w:pPr>
        <w:pStyle w:val="Heading1"/>
      </w:pPr>
      <w:r>
        <w:t xml:space="preserve">Comprehensive Sales Performance Report: Accountant's Financial Analysis for Shanghai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Shanghai Regional Office</w:t>
      </w:r>
      <w:r>
        <w:br/>
      </w:r>
      <w:r>
        <w:rPr>
          <w:bCs/>
          <w:b/>
        </w:rPr>
        <w:t xml:space="preserve">Prepared By:</w:t>
      </w:r>
      <w:r>
        <w:t xml:space="preserve"> </w:t>
      </w:r>
      <w:r>
        <w:t xml:space="preserve">Finance &amp; Accounting Department (Shanghai)</w:t>
      </w:r>
    </w:p>
    <w:bookmarkStart w:id="20" w:name="i.-executive-summary"/>
    <w:p>
      <w:pPr>
        <w:pStyle w:val="Heading2"/>
      </w:pPr>
      <w:r>
        <w:t xml:space="preserve">I. Executive Summary</w:t>
      </w:r>
    </w:p>
    <w:p>
      <w:pPr>
        <w:pStyle w:val="FirstParagraph"/>
      </w:pPr>
      <w:r>
        <w:t xml:space="preserve">This Sales Report details the financial performance of our Shanghai operations for Q3 2023, with critical analysis provided by our dedicated Accountant team. The Shanghai market demonstrated resilient growth despite regional economic headwinds, achieving a 14.7% year-over-year revenue increase to RMB 87.3 million. Our Accountant department's meticulous sales data validation and compliance adherence under Chinese Accounting Standards (CAS) were instrumental in delivering accurate insights for strategic decision-making. This report underscores how our Shanghai-based Accountant team transformed raw sales figures into actionable business intelligence, directly contributing to our regional market leadership.</w:t>
      </w:r>
    </w:p>
    <w:bookmarkEnd w:id="20"/>
    <w:bookmarkStart w:id="22" w:name="X61a648b8f3bd0210fdc060d89176a86409b9a94"/>
    <w:p>
      <w:pPr>
        <w:pStyle w:val="Heading2"/>
      </w:pPr>
      <w:r>
        <w:t xml:space="preserve">II. Sales Performance Breakdown: Shanghai Market Context</w:t>
      </w:r>
    </w:p>
    <w:p>
      <w:pPr>
        <w:pStyle w:val="FirstParagraph"/>
      </w:pPr>
      <w:r>
        <w:t xml:space="preserve">Operating within China's most dynamic economic hub requires precise financial oversight. As the Accountant for Shanghai operations, we processed 18,432 sales transactions across 15 sectors—from tech manufacturing to luxury retail—ensuring compliance with Chinese tax regulations (VAT rates at 6-13%) and customs documentation requirements. Key highlights:</w:t>
      </w:r>
    </w:p>
    <w:p>
      <w:pPr>
        <w:numPr>
          <w:ilvl w:val="0"/>
          <w:numId w:val="1001"/>
        </w:numPr>
        <w:pStyle w:val="Compact"/>
      </w:pPr>
      <w:r>
        <w:rPr>
          <w:bCs/>
          <w:b/>
        </w:rPr>
        <w:t xml:space="preserve">Top-Performing Segment:</w:t>
      </w:r>
      <w:r>
        <w:t xml:space="preserve"> </w:t>
      </w:r>
      <w:r>
        <w:t xml:space="preserve">High-end industrial components (28% of total revenue), driven by automotive sector demand in Shanghai's free-trade zone</w:t>
      </w:r>
    </w:p>
    <w:p>
      <w:pPr>
        <w:numPr>
          <w:ilvl w:val="0"/>
          <w:numId w:val="1001"/>
        </w:numPr>
        <w:pStyle w:val="Compact"/>
      </w:pPr>
      <w:r>
        <w:rPr>
          <w:bCs/>
          <w:b/>
        </w:rPr>
        <w:t xml:space="preserve">Customer Growth:</w:t>
      </w:r>
      <w:r>
        <w:t xml:space="preserve"> </w:t>
      </w:r>
      <w:r>
        <w:t xml:space="preserve">37 new enterprise clients acquired through sales teams, validated by our Accountant department's credit risk assessment protocols</w:t>
      </w:r>
    </w:p>
    <w:p>
      <w:pPr>
        <w:numPr>
          <w:ilvl w:val="0"/>
          <w:numId w:val="1001"/>
        </w:numPr>
        <w:pStyle w:val="Compact"/>
      </w:pPr>
      <w:r>
        <w:rPr>
          <w:bCs/>
          <w:b/>
        </w:rPr>
        <w:t xml:space="preserve">Geographic Distribution:</w:t>
      </w:r>
      <w:r>
        <w:t xml:space="preserve"> </w:t>
      </w:r>
      <w:r>
        <w:t xml:space="preserve">68% of sales within Shanghai-Pudong Free Trade Zone (leveraging tax incentives), 22% to Jiangsu/Zhejiang clients via cross-border logistics</w:t>
      </w:r>
    </w:p>
    <w:bookmarkStart w:id="21" w:name="accountant-driven-sales-analytics"/>
    <w:p>
      <w:pPr>
        <w:pStyle w:val="Heading3"/>
      </w:pPr>
      <w:r>
        <w:t xml:space="preserve">Accountant-Driven Sales Analytics</w:t>
      </w:r>
    </w:p>
    <w:p>
      <w:pPr>
        <w:pStyle w:val="FirstParagraph"/>
      </w:pPr>
      <w:r>
        <w:t xml:space="preserve">Our Shanghai Accountant team implemented a new sales tracking protocol in Q1 2023, integrating ERP systems with China's National Tax Service Platform. This reduced invoice processing time by 40% and eliminated compliance gaps that previously caused tax audit delays. For instance, our Accountant identified VAT miscalculations in July shipments (affecting RMB 856,000 in transactions), preventing potential penalties under Shanghai's 2023 Tax Compliance Enforcement Guidelines.</w:t>
      </w:r>
    </w:p>
    <w:bookmarkEnd w:id="21"/>
    <w:bookmarkEnd w:id="22"/>
    <w:bookmarkStart w:id="24" w:name="X43107f27718814ae609b52195461f9d69c8c6bd"/>
    <w:p>
      <w:pPr>
        <w:pStyle w:val="Heading2"/>
      </w:pPr>
      <w:r>
        <w:t xml:space="preserve">III. Financial Metrics &amp; Accountant-Verified Data</w:t>
      </w:r>
    </w:p>
    <w:p>
      <w:pPr>
        <w:pStyle w:val="FirstParagraph"/>
      </w:pPr>
      <w:r>
        <w:t xml:space="preserve">Key Metric</w:t>
      </w:r>
    </w:p>
    <w:p>
      <w:pPr>
        <w:pStyle w:val="BodyText"/>
      </w:pPr>
      <w:r>
        <w:t xml:space="preserve">Q3 2023</w:t>
      </w:r>
    </w:p>
    <w:p>
      <w:pPr>
        <w:pStyle w:val="BodyText"/>
      </w:pPr>
      <w:r>
        <w:t xml:space="preserve">YoY Change</w:t>
      </w:r>
    </w:p>
    <w:p>
      <w:pPr>
        <w:pStyle w:val="BodyText"/>
      </w:pPr>
    </w:p>
    <w:p>
      <w:pPr>
        <w:pStyle w:val="BodyText"/>
      </w:pPr>
      <w:r>
        <w:t xml:space="preserve">(Accountant-Verified)</w:t>
      </w:r>
    </w:p>
    <w:p>
      <w:pPr>
        <w:pStyle w:val="BodyText"/>
      </w:pPr>
      <w:r>
        <w:t xml:space="preserve">Total Revenue</w:t>
      </w:r>
    </w:p>
    <w:p>
      <w:pPr>
        <w:pStyle w:val="BodyText"/>
      </w:pPr>
      <w:r>
        <w:t xml:space="preserve">RMB 87.3M</w:t>
      </w:r>
    </w:p>
    <w:p>
      <w:pPr>
        <w:pStyle w:val="BodyText"/>
      </w:pPr>
      <w:r>
        <w:t xml:space="preserve">+14.7%</w:t>
      </w:r>
    </w:p>
    <w:p>
      <w:pPr>
        <w:pStyle w:val="BodyText"/>
      </w:pPr>
      <w:r>
        <w:t xml:space="preserve">✓ Certified by Shanghai CICP (Certified Public Accountant)</w:t>
      </w:r>
    </w:p>
    <w:p>
      <w:pPr>
        <w:pStyle w:val="BodyText"/>
      </w:pPr>
      <w:r>
        <w:t xml:space="preserve">Profit Margin</w:t>
      </w:r>
    </w:p>
    <w:p>
      <w:pPr>
        <w:pStyle w:val="BodyText"/>
      </w:pPr>
      <w:r>
        <w:t xml:space="preserve">29.3%</w:t>
      </w:r>
    </w:p>
    <w:p>
      <w:pPr>
        <w:pStyle w:val="BodyText"/>
      </w:pPr>
      <w:r>
        <w:t xml:space="preserve">+2.1pp</w:t>
      </w:r>
    </w:p>
    <w:p>
      <w:pPr>
        <w:pStyle w:val="BodyText"/>
      </w:pPr>
      <w:r>
        <w:t xml:space="preserve">✓ Compliant with CAS 18 (Revenue Recognition)</w:t>
      </w:r>
    </w:p>
    <w:p>
      <w:pPr>
        <w:pStyle w:val="BodyText"/>
      </w:pPr>
      <w:r>
        <w:t xml:space="preserve">New Client Acquisition Cost</w:t>
      </w:r>
    </w:p>
    <w:p>
      <w:pPr>
        <w:pStyle w:val="BodyText"/>
      </w:pPr>
      <w:r>
        <w:t xml:space="preserve">RMB 48,500/client</w:t>
      </w:r>
    </w:p>
    <w:p>
      <w:pPr>
        <w:pStyle w:val="BodyText"/>
      </w:pPr>
      <w:r>
        <w:t xml:space="preserve">-12.3%</w:t>
      </w:r>
    </w:p>
    <w:p>
      <w:pPr>
        <w:pStyle w:val="BodyText"/>
      </w:pPr>
      <w:r>
        <w:t xml:space="preserve">✓ Optimized through Accountant-led sales analytics</w:t>
      </w:r>
    </w:p>
    <w:bookmarkStart w:id="23" w:name="Xc59a9aa5ab8231540a37045c3a96d3042b6782d"/>
    <w:p>
      <w:pPr>
        <w:pStyle w:val="Heading3"/>
      </w:pPr>
      <w:r>
        <w:t xml:space="preserve">Shanghai-Specific Accounting Challenges Addressed</w:t>
      </w:r>
    </w:p>
    <w:p>
      <w:pPr>
        <w:pStyle w:val="FirstParagraph"/>
      </w:pPr>
      <w:r>
        <w:t xml:space="preserve">Our Shanghai Accountant team navigated three critical regulatory challenges:</w:t>
      </w:r>
    </w:p>
    <w:p>
      <w:pPr>
        <w:numPr>
          <w:ilvl w:val="0"/>
          <w:numId w:val="1002"/>
        </w:numPr>
        <w:pStyle w:val="Compact"/>
      </w:pPr>
      <w:r>
        <w:rPr>
          <w:bCs/>
          <w:b/>
        </w:rPr>
        <w:t xml:space="preserve">VAT Reclaim Optimization:</w:t>
      </w:r>
      <w:r>
        <w:t xml:space="preserve"> </w:t>
      </w:r>
      <w:r>
        <w:t xml:space="preserve">Processed RMB 2.1M in recoverable input VAT for Q3 shipments, exceeding regional averages by 31% through timely documentation per Shanghai Tax Bureau Circular No. 45</w:t>
      </w:r>
    </w:p>
    <w:p>
      <w:pPr>
        <w:numPr>
          <w:ilvl w:val="0"/>
          <w:numId w:val="1002"/>
        </w:numPr>
        <w:pStyle w:val="Compact"/>
      </w:pPr>
      <w:r>
        <w:rPr>
          <w:bCs/>
          <w:b/>
        </w:rPr>
        <w:t xml:space="preserve">Cross-Border Compliance:</w:t>
      </w:r>
      <w:r>
        <w:t xml:space="preserve"> </w:t>
      </w:r>
      <w:r>
        <w:t xml:space="preserve">Streamlined customs declarations for exports to ASEAN markets, reducing clearance delays from 72hrs to 18hrs via our Accountant-developed digital ledger system</w:t>
      </w:r>
    </w:p>
    <w:p>
      <w:pPr>
        <w:numPr>
          <w:ilvl w:val="0"/>
          <w:numId w:val="1002"/>
        </w:numPr>
        <w:pStyle w:val="Compact"/>
      </w:pPr>
      <w:r>
        <w:rPr>
          <w:bCs/>
          <w:b/>
        </w:rPr>
        <w:t xml:space="preserve">Corporate Income Tax (CIT):</w:t>
      </w:r>
      <w:r>
        <w:t xml:space="preserve"> </w:t>
      </w:r>
      <w:r>
        <w:t xml:space="preserve">Applied Shanghai's "Special Tax Treatment for High-Tech Enterprises" (tax rate reduced to 10%) after verifying R&amp;D expenditures with sales data—saving RMB 1.7M in Q3 taxes</w:t>
      </w:r>
    </w:p>
    <w:bookmarkEnd w:id="23"/>
    <w:bookmarkEnd w:id="24"/>
    <w:bookmarkStart w:id="28" w:name="X82cd1e1127658a0bf905ac30b0d60a58b6e8ff8"/>
    <w:p>
      <w:pPr>
        <w:pStyle w:val="Heading2"/>
      </w:pPr>
      <w:r>
        <w:t xml:space="preserve">IV. Strategic Opportunities Identified by Accountant Analysis</w:t>
      </w:r>
    </w:p>
    <w:p>
      <w:pPr>
        <w:pStyle w:val="FirstParagraph"/>
      </w:pPr>
      <w:r>
        <w:t xml:space="preserve">Through granular sales data analysis, our Shanghai Accountant team identified three growth vectors:</w:t>
      </w:r>
    </w:p>
    <w:bookmarkStart w:id="25" w:name="X61535dd6be8b5fe20b941b987feaa3c0ebe70ed"/>
    <w:p>
      <w:pPr>
        <w:pStyle w:val="Heading3"/>
      </w:pPr>
      <w:r>
        <w:t xml:space="preserve">A. Premium Product Expansion (Accountant-Proposed)</w:t>
      </w:r>
    </w:p>
    <w:p>
      <w:pPr>
        <w:pStyle w:val="FirstParagraph"/>
      </w:pPr>
      <w:r>
        <w:t xml:space="preserve">Sales reports revealed 42% of customers purchased premium versions (+18% margin) but only 19% were targeted via cross-selling. Our Accountant recommended personalized sales campaigns, resulting in a 26% uptake in Q4. This was validated through our account management dashboard tracking customer lifetime value (CLV).</w:t>
      </w:r>
    </w:p>
    <w:bookmarkEnd w:id="25"/>
    <w:bookmarkStart w:id="26" w:name="X352508db66f881ebee74b4c0301c4be9a270e99"/>
    <w:p>
      <w:pPr>
        <w:pStyle w:val="Heading3"/>
      </w:pPr>
      <w:r>
        <w:t xml:space="preserve">B. Shanghai Free Trade Zone (FTZ) Tax Advantages</w:t>
      </w:r>
    </w:p>
    <w:p>
      <w:pPr>
        <w:pStyle w:val="FirstParagraph"/>
      </w:pPr>
      <w:r>
        <w:t xml:space="preserve">Accountant data showed FTZ clients had 12% higher retention rates. We now structure all Shanghai sales contracts to leverage FTZ's "Zero-Tariff" status, directly increasing net revenue per transaction by RMB 8,400 on average.</w:t>
      </w:r>
    </w:p>
    <w:bookmarkEnd w:id="26"/>
    <w:bookmarkStart w:id="27" w:name="c.-real-time-sales-forecasting"/>
    <w:p>
      <w:pPr>
        <w:pStyle w:val="Heading3"/>
      </w:pPr>
      <w:r>
        <w:t xml:space="preserve">C. Real-Time Sales Forecasting</w:t>
      </w:r>
    </w:p>
    <w:p>
      <w:pPr>
        <w:pStyle w:val="FirstParagraph"/>
      </w:pPr>
      <w:r>
        <w:t xml:space="preserve">Our Accountant deployed machine learning models using 12 months of Shanghai sales data, predicting Q4 demand with 92% accuracy (vs. industry avg. 76%). This enabled strategic inventory allocation, reducing stockouts by 33% in key electronics segments.</w:t>
      </w:r>
    </w:p>
    <w:bookmarkEnd w:id="27"/>
    <w:bookmarkEnd w:id="28"/>
    <w:bookmarkStart w:id="29" w:name="X1a71490d39023143cf9d72a3cca13bf366bff8e"/>
    <w:p>
      <w:pPr>
        <w:pStyle w:val="Heading2"/>
      </w:pPr>
      <w:r>
        <w:t xml:space="preserve">V. Accountant Team's Value Proposition in Shanghai Context</w:t>
      </w:r>
    </w:p>
    <w:p>
      <w:pPr>
        <w:pStyle w:val="FirstParagraph"/>
      </w:pPr>
      <w:r>
        <w:t xml:space="preserve">As the financial backbone of Shanghai operations, our Accountant team delivers beyond basic bookkeeping:</w:t>
      </w:r>
    </w:p>
    <w:p>
      <w:pPr>
        <w:numPr>
          <w:ilvl w:val="0"/>
          <w:numId w:val="1003"/>
        </w:numPr>
        <w:pStyle w:val="Compact"/>
      </w:pPr>
      <w:r>
        <w:rPr>
          <w:bCs/>
          <w:b/>
        </w:rPr>
        <w:t xml:space="preserve">Regulatory Navigation:</w:t>
      </w:r>
      <w:r>
        <w:t xml:space="preserve"> </w:t>
      </w:r>
      <w:r>
        <w:t xml:space="preserve">100% compliance with China's new "Digital Taxation" system (e-filing mandate for all sales transactions)</w:t>
      </w:r>
    </w:p>
    <w:p>
      <w:pPr>
        <w:numPr>
          <w:ilvl w:val="0"/>
          <w:numId w:val="1003"/>
        </w:numPr>
        <w:pStyle w:val="Compact"/>
      </w:pPr>
      <w:r>
        <w:rPr>
          <w:bCs/>
          <w:b/>
        </w:rPr>
        <w:t xml:space="preserve">Cultural Integration:</w:t>
      </w:r>
      <w:r>
        <w:t xml:space="preserve"> </w:t>
      </w:r>
      <w:r>
        <w:t xml:space="preserve">Accountants fluent in Mandarin and Shanghai dialects facilitate seamless communication with local clients and tax authorities</w:t>
      </w:r>
    </w:p>
    <w:p>
      <w:pPr>
        <w:numPr>
          <w:ilvl w:val="0"/>
          <w:numId w:val="1003"/>
        </w:numPr>
        <w:pStyle w:val="Compact"/>
      </w:pPr>
      <w:r>
        <w:rPr>
          <w:bCs/>
          <w:b/>
        </w:rPr>
        <w:t xml:space="preserve">Strategic Partnership:</w:t>
      </w:r>
      <w:r>
        <w:t xml:space="preserve"> </w:t>
      </w:r>
      <w:r>
        <w:t xml:space="preserve">Monthly sales-performance workshops co-led by Accountant and Sales teams drive data-backed decisions (e.g., halting low-margin regional promotions identified through our analysis)</w:t>
      </w:r>
    </w:p>
    <w:bookmarkEnd w:id="29"/>
    <w:bookmarkStart w:id="30" w:name="vi.-recommendations-for-q4-2023"/>
    <w:p>
      <w:pPr>
        <w:pStyle w:val="Heading2"/>
      </w:pPr>
      <w:r>
        <w:t xml:space="preserve">VI. Recommendations for Q4 2023</w:t>
      </w:r>
    </w:p>
    <w:p>
      <w:pPr>
        <w:numPr>
          <w:ilvl w:val="0"/>
          <w:numId w:val="1004"/>
        </w:numPr>
        <w:pStyle w:val="Compact"/>
      </w:pPr>
      <w:r>
        <w:rPr>
          <w:bCs/>
          <w:b/>
        </w:rPr>
        <w:t xml:space="preserve">Expand FTZ Sales Strategy:</w:t>
      </w:r>
      <w:r>
        <w:t xml:space="preserve"> </w:t>
      </w:r>
      <w:r>
        <w:t xml:space="preserve">Allocate 75% of new client acquisition budget to FTZ-based enterprises (accountant-verified growth potential: +18.9% revenue)</w:t>
      </w:r>
    </w:p>
    <w:p>
      <w:pPr>
        <w:numPr>
          <w:ilvl w:val="0"/>
          <w:numId w:val="1004"/>
        </w:numPr>
        <w:pStyle w:val="Compact"/>
      </w:pPr>
      <w:r>
        <w:rPr>
          <w:bCs/>
          <w:b/>
        </w:rPr>
        <w:t xml:space="preserve">Implement AI-Powered VAT Analytics:</w:t>
      </w:r>
      <w:r>
        <w:t xml:space="preserve"> </w:t>
      </w:r>
      <w:r>
        <w:t xml:space="preserve">Invest in Shanghai-specific tax compliance software (Accountant-recommended), projected to save RMB 450K annually</w:t>
      </w:r>
    </w:p>
    <w:p>
      <w:pPr>
        <w:numPr>
          <w:ilvl w:val="0"/>
          <w:numId w:val="1004"/>
        </w:numPr>
        <w:pStyle w:val="Compact"/>
      </w:pPr>
      <w:r>
        <w:rPr>
          <w:bCs/>
          <w:b/>
        </w:rPr>
        <w:t xml:space="preserve">Enhance Sales-Data Integration:</w:t>
      </w:r>
      <w:r>
        <w:t xml:space="preserve"> </w:t>
      </w:r>
      <w:r>
        <w:t xml:space="preserve">Create unified dashboard showing real-time sales metrics alongside CAS-compliant financials (accountant-developed prototype ready for Q1 rollout)</w:t>
      </w:r>
    </w:p>
    <w:bookmarkEnd w:id="30"/>
    <w:bookmarkStart w:id="31" w:name="X6cc39dda34360ea70586ef7018c5e2266e57ac5"/>
    <w:p>
      <w:pPr>
        <w:pStyle w:val="Heading2"/>
      </w:pPr>
      <w:r>
        <w:t xml:space="preserve">VII. Conclusion: The Accountant as Shanghai's Strategic Sales Engine</w:t>
      </w:r>
    </w:p>
    <w:p>
      <w:pPr>
        <w:pStyle w:val="FirstParagraph"/>
      </w:pPr>
      <w:r>
        <w:t xml:space="preserve">This report demonstrates that in China Shanghai's complex business environment, the Accountant is not merely a financial gatekeeper but the central intelligence hub for sales success. Our Shanghai-based Accountant team transformed raw sales data into a competitive asset—identifying RMB 3.8M in untapped revenue opportunities and preventing RMB 1.2M in compliance risks during Q3 alone. As our market share grows (currently 17% of Shanghai's industrial components segment), the Accountant's role will evolve from reporting to proactive strategic co-pilot. We recommend elevating the Shanghai Accountant position to "Finance &amp; Sales Intelligence Director" by Q1 2024, directly aligning with our long-term expansion goals in China.</w:t>
      </w:r>
    </w:p>
    <w:p>
      <w:pPr>
        <w:pStyle w:val="BodyText"/>
      </w:pPr>
      <w:r>
        <w:rPr>
          <w:bCs/>
          <w:b/>
        </w:rPr>
        <w:t xml:space="preserve">Verified By:</w:t>
      </w:r>
      <w:r>
        <w:t xml:space="preserve"> </w:t>
      </w:r>
      <w:r>
        <w:t xml:space="preserve">Li Wei, CPA (Shanghai), Head of Accounting</w:t>
      </w:r>
      <w:r>
        <w:br/>
      </w:r>
      <w:r>
        <w:rPr>
          <w:bCs/>
          <w:b/>
        </w:rPr>
        <w:t xml:space="preserve">Compliance Note:</w:t>
      </w:r>
      <w:r>
        <w:t xml:space="preserve"> </w:t>
      </w:r>
      <w:r>
        <w:t xml:space="preserve">This report adheres to Chinese Certified Public Accountant Regulations (CICPA) and Shanghai Municipal Tax Authority Guidelines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Accountant's Sales Performance Report: Shanghai Market Analysis</dc:title>
  <dc:creator/>
  <dc:language>en</dc:language>
  <cp:keywords/>
  <dcterms:created xsi:type="dcterms:W3CDTF">2026-07-23T20:09:25Z</dcterms:created>
  <dcterms:modified xsi:type="dcterms:W3CDTF">2026-07-23T20:09:25Z</dcterms:modified>
</cp:coreProperties>
</file>

<file path=docProps/custom.xml><?xml version="1.0" encoding="utf-8"?>
<Properties xmlns="http://schemas.openxmlformats.org/officeDocument/2006/custom-properties" xmlns:vt="http://schemas.openxmlformats.org/officeDocument/2006/docPropsVTypes"/>
</file>