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Colombia</w:t>
      </w:r>
      <w:r>
        <w:t xml:space="preserve"> </w:t>
      </w:r>
      <w:r>
        <w:t xml:space="preserve">Bogotá</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Analysis</w:t>
      </w:r>
    </w:p>
    <w:bookmarkStart w:id="29" w:name="X85d62d429b032d1eee3a72f2d993e51975dbff1"/>
    <w:p>
      <w:pPr>
        <w:pStyle w:val="Heading1"/>
      </w:pPr>
      <w:r>
        <w:t xml:space="preserve">Sales Performance Report: Bogotá Market Analysis for Accountant Operations (Q3 2023)</w:t>
      </w:r>
    </w:p>
    <w:bookmarkStart w:id="28" w:name="Xb3389e89aee47060d56469d96f951739a38c598"/>
    <w:p>
      <w:pPr>
        <w:pStyle w:val="Heading2"/>
      </w:pPr>
      <w:r>
        <w:t xml:space="preserve">Prepared For: Management Team, Bogotá-Based Accounting Division</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Start w:id="20" w:name="executive-summary"/>
    <w:p>
      <w:pPr>
        <w:pStyle w:val="Heading3"/>
      </w:pPr>
      <w:r>
        <w:t xml:space="preserve">Executive Summary</w:t>
      </w:r>
    </w:p>
    <w:p>
      <w:pPr>
        <w:pStyle w:val="FirstParagraph"/>
      </w:pPr>
      <w:r>
        <w:t xml:space="preserve">This report presents a comprehensive analysis of sales performance across key sectors in Colombia Bogotá, with specific focus on the accountant’s critical role in financial oversight, compliance, and strategic decision-making. The analysis reveals a 12.7% year-over-year growth in sales revenue for our Bogotá operations (COP 48.2B vs COP 42.8B in Q3 2022), driven by retail expansion and e-commerce adoption. Crucially, the Accountant team ensured full adherence to</w:t>
      </w:r>
      <w:r>
        <w:t xml:space="preserve"> </w:t>
      </w:r>
      <w:r>
        <w:rPr>
          <w:iCs/>
          <w:i/>
        </w:rPr>
        <w:t xml:space="preserve">Resolución 0301 de 2016</w:t>
      </w:r>
      <w:r>
        <w:t xml:space="preserve"> </w:t>
      </w:r>
      <w:r>
        <w:t xml:space="preserve">(Colombian tax regulations) and</w:t>
      </w:r>
      <w:r>
        <w:t xml:space="preserve"> </w:t>
      </w:r>
      <w:r>
        <w:rPr>
          <w:iCs/>
          <w:i/>
        </w:rPr>
        <w:t xml:space="preserve">Ley 1250 de 2008</w:t>
      </w:r>
      <w:r>
        <w:t xml:space="preserve">, preventing potential penalties exceeding COP 75M. This document underscores how meticulous accounting practices directly enable sustainable growth in the competitive Bogotá market.</w:t>
      </w:r>
    </w:p>
    <w:bookmarkEnd w:id="20"/>
    <w:bookmarkStart w:id="21" w:name="X180c13c83e78359ed5b56c33f389e4aed5d2a48"/>
    <w:p>
      <w:pPr>
        <w:pStyle w:val="Heading3"/>
      </w:pPr>
      <w:r>
        <w:t xml:space="preserve">Methodology: Accountant-Driven Data Collection in Colombia Bogotá</w:t>
      </w:r>
    </w:p>
    <w:p>
      <w:pPr>
        <w:pStyle w:val="FirstParagraph"/>
      </w:pPr>
      <w:r>
        <w:t xml:space="preserve">As the primary financial steward for all Colombia Bogotá operations, our Accountant team executed this analysis using verified data from:</w:t>
      </w:r>
    </w:p>
    <w:p>
      <w:pPr>
        <w:numPr>
          <w:ilvl w:val="0"/>
          <w:numId w:val="1001"/>
        </w:numPr>
        <w:pStyle w:val="Compact"/>
      </w:pPr>
      <w:r>
        <w:rPr>
          <w:bCs/>
          <w:b/>
        </w:rPr>
        <w:t xml:space="preserve">Sales Systems:</w:t>
      </w:r>
      <w:r>
        <w:t xml:space="preserve"> </w:t>
      </w:r>
      <w:r>
        <w:t xml:space="preserve">SAP implementation across 15 Bogotá retail outlets (including Chía, La Candelaria, and Usaquén zones)</w:t>
      </w:r>
    </w:p>
    <w:p>
      <w:pPr>
        <w:numPr>
          <w:ilvl w:val="0"/>
          <w:numId w:val="1001"/>
        </w:numPr>
        <w:pStyle w:val="Compact"/>
      </w:pPr>
      <w:r>
        <w:rPr>
          <w:bCs/>
          <w:b/>
        </w:rPr>
        <w:t xml:space="preserve">Local Compliance Sources:</w:t>
      </w:r>
      <w:r>
        <w:t xml:space="preserve"> </w:t>
      </w:r>
      <w:r>
        <w:t xml:space="preserve">DANE economic databases, Cámara de Comercio Bogotá registration records</w:t>
      </w:r>
    </w:p>
    <w:p>
      <w:pPr>
        <w:numPr>
          <w:ilvl w:val="0"/>
          <w:numId w:val="1001"/>
        </w:numPr>
        <w:pStyle w:val="Compact"/>
      </w:pPr>
      <w:r>
        <w:rPr>
          <w:bCs/>
          <w:b/>
        </w:rPr>
        <w:t xml:space="preserve">Tax Authorities:</w:t>
      </w:r>
      <w:r>
        <w:t xml:space="preserve"> </w:t>
      </w:r>
      <w:r>
        <w:t xml:space="preserve">DIAN (Dirección de Impuestos y Aduanas Nacionales) quarterly filings for Bogotá-based entities</w:t>
      </w:r>
    </w:p>
    <w:p>
      <w:pPr>
        <w:pStyle w:val="FirstParagraph"/>
      </w:pPr>
      <w:r>
        <w:t xml:space="preserve">The Accountant department cross-referenced all figures against Colombian accounting standards (</w:t>
      </w:r>
      <w:r>
        <w:rPr>
          <w:iCs/>
          <w:i/>
        </w:rPr>
        <w:t xml:space="preserve">Normas de Información Financiera - NIF</w:t>
      </w:r>
      <w:r>
        <w:t xml:space="preserve">), ensuring 100% accuracy for reporting to stakeholders. This rigorous process is non-negotiable in Colombia’s highly regulated commercial environment.</w:t>
      </w:r>
    </w:p>
    <w:bookmarkEnd w:id="21"/>
    <w:bookmarkStart w:id="22" w:name="X26b3997463637708fca89d571783dab3466bcaa"/>
    <w:p>
      <w:pPr>
        <w:pStyle w:val="Heading3"/>
      </w:pPr>
      <w:r>
        <w:t xml:space="preserve">Q3 2023 Sales Performance: Key Findings (Bogotá Focus)</w:t>
      </w:r>
    </w:p>
    <w:p>
      <w:pPr>
        <w:pStyle w:val="FirstParagraph"/>
      </w:pPr>
      <w:r>
        <w:t xml:space="preserve">Sector</w:t>
      </w:r>
    </w:p>
    <w:p>
      <w:pPr>
        <w:pStyle w:val="BodyText"/>
      </w:pPr>
      <w:r>
        <w:t xml:space="preserve">Revenue (COP)</w:t>
      </w:r>
    </w:p>
    <w:p>
      <w:pPr>
        <w:pStyle w:val="BodyText"/>
      </w:pPr>
      <w:r>
        <w:t xml:space="preserve">YoY Growth</w:t>
      </w:r>
    </w:p>
    <w:p>
      <w:pPr>
        <w:pStyle w:val="BodyText"/>
      </w:pPr>
      <w:r>
        <w:t xml:space="preserve">Key Drivers (Bogotá Context)</w:t>
      </w:r>
    </w:p>
    <w:p>
      <w:pPr>
        <w:pStyle w:val="BodyText"/>
      </w:pPr>
      <w:r>
        <w:t xml:space="preserve">Retail E-commerce</w:t>
      </w:r>
    </w:p>
    <w:p>
      <w:pPr>
        <w:pStyle w:val="BodyText"/>
      </w:pPr>
      <w:r>
        <w:t xml:space="preserve">18,450,000,000</w:t>
      </w:r>
    </w:p>
    <w:p>
      <w:pPr>
        <w:pStyle w:val="BodyText"/>
      </w:pPr>
      <w:r>
        <w:t xml:space="preserve">+23.1%</w:t>
      </w:r>
    </w:p>
    <w:p>
      <w:pPr>
        <w:pStyle w:val="BodyText"/>
      </w:pPr>
      <w:r>
        <w:t xml:space="preserve">Merca Libre partnerships; Bogotá’s 32% e-commerce adoption rate (DANE 2023)</w:t>
      </w:r>
    </w:p>
    <w:p>
      <w:pPr>
        <w:pStyle w:val="BodyText"/>
      </w:pPr>
      <w:r>
        <w:t xml:space="preserve">Business Services</w:t>
      </w:r>
    </w:p>
    <w:p>
      <w:pPr>
        <w:pStyle w:val="BodyText"/>
      </w:pPr>
      <w:r>
        <w:t xml:space="preserve">15,675,000,000</w:t>
      </w:r>
    </w:p>
    <w:p>
      <w:pPr>
        <w:pStyle w:val="BodyText"/>
      </w:pPr>
      <w:r>
        <w:t xml:space="preserve">+9.4%</w:t>
      </w:r>
    </w:p>
    <w:p>
      <w:pPr>
        <w:pStyle w:val="BodyText"/>
      </w:pPr>
      <w:r>
        <w:t xml:space="preserve">Certified accounting services for new Cámara de Comercio Bogotá members</w:t>
      </w:r>
    </w:p>
    <w:p>
      <w:pPr>
        <w:pStyle w:val="BodyText"/>
      </w:pPr>
      <w:r>
        <w:t xml:space="preserve">Consumer Goods</w:t>
      </w:r>
    </w:p>
    <w:p>
      <w:pPr>
        <w:pStyle w:val="BodyText"/>
      </w:pPr>
      <w:r>
        <w:t xml:space="preserve">14,075,000,000</w:t>
      </w:r>
    </w:p>
    <w:p>
      <w:pPr>
        <w:pStyle w:val="BodyText"/>
      </w:pPr>
      <w:r>
        <w:t xml:space="preserve">+5.2%</w:t>
      </w:r>
    </w:p>
    <w:p>
      <w:pPr>
        <w:pStyle w:val="BodyText"/>
      </w:pPr>
      <w:r>
        <w:t xml:space="preserve">Sustained demand in La Macarena commercial zone; inflation-adjusted pricing strategies</w:t>
      </w:r>
    </w:p>
    <w:p>
      <w:pPr>
        <w:pStyle w:val="BodyText"/>
      </w:pPr>
      <w:r>
        <w:t xml:space="preserve">Notably, the Accountant team identified a COP 3.2B opportunity in optimizing VAT (IVA) compliance for Bogotá’s small business clients. By proactively updating sales tax classifications per DIAN Resolution 056 of 2019, we prevented an estimated COP 485M in potential penalties for our client base – directly enhancing trust and retention in Colombia’s competitive accounting services market.</w:t>
      </w:r>
    </w:p>
    <w:bookmarkEnd w:id="22"/>
    <w:bookmarkStart w:id="23" w:name="X210d79d242f66a6a04134862e2720cd367872fe"/>
    <w:p>
      <w:pPr>
        <w:pStyle w:val="Heading3"/>
      </w:pPr>
      <w:r>
        <w:t xml:space="preserve">The Accountant’s Strategic Role: Beyond Compliance</w:t>
      </w:r>
    </w:p>
    <w:p>
      <w:pPr>
        <w:pStyle w:val="FirstParagraph"/>
      </w:pPr>
      <w:r>
        <w:t xml:space="preserve">As the backbone of financial integrity in Colombia Bogotá, the Accountant team actively shapes sales strategy through:</w:t>
      </w:r>
    </w:p>
    <w:p>
      <w:pPr>
        <w:numPr>
          <w:ilvl w:val="0"/>
          <w:numId w:val="1002"/>
        </w:numPr>
        <w:pStyle w:val="Compact"/>
      </w:pPr>
      <w:r>
        <w:rPr>
          <w:bCs/>
          <w:b/>
        </w:rPr>
        <w:t xml:space="preserve">Profitability Analysis:</w:t>
      </w:r>
      <w:r>
        <w:t xml:space="preserve"> </w:t>
      </w:r>
      <w:r>
        <w:t xml:space="preserve">Flagged 18% margin erosion in consumer goods due to inflation; recommended dynamic pricing adjustments adopted by Q3.</w:t>
      </w:r>
    </w:p>
    <w:p>
      <w:pPr>
        <w:numPr>
          <w:ilvl w:val="0"/>
          <w:numId w:val="1002"/>
        </w:numPr>
        <w:pStyle w:val="Compact"/>
      </w:pPr>
      <w:r>
        <w:rPr>
          <w:bCs/>
          <w:b/>
        </w:rPr>
        <w:t xml:space="preserve">Risk Mitigation:</w:t>
      </w:r>
      <w:r>
        <w:t xml:space="preserve"> </w:t>
      </w:r>
      <w:r>
        <w:t xml:space="preserve">Detected duplicate sales entries for a Bogotá-based client (COP 2.1B), preventing revenue leakage and strengthening client trust.</w:t>
      </w:r>
    </w:p>
    <w:p>
      <w:pPr>
        <w:numPr>
          <w:ilvl w:val="0"/>
          <w:numId w:val="1002"/>
        </w:numPr>
        <w:pStyle w:val="Compact"/>
      </w:pPr>
      <w:r>
        <w:rPr>
          <w:bCs/>
          <w:b/>
        </w:rPr>
        <w:t xml:space="preserve">Regulatory Navigation:</w:t>
      </w:r>
      <w:r>
        <w:t xml:space="preserve"> </w:t>
      </w:r>
      <w:r>
        <w:t xml:space="preserve">Ensured all sales reports aligned with the Colombian government’s new</w:t>
      </w:r>
      <w:r>
        <w:t xml:space="preserve"> </w:t>
      </w:r>
      <w:r>
        <w:rPr>
          <w:iCs/>
          <w:i/>
        </w:rPr>
        <w:t xml:space="preserve">Sistema de Información Fiscal</w:t>
      </w:r>
      <w:r>
        <w:t xml:space="preserve"> </w:t>
      </w:r>
      <w:r>
        <w:t xml:space="preserve">(SIF) requirements for Bogotá businesses.</w:t>
      </w:r>
    </w:p>
    <w:p>
      <w:pPr>
        <w:pStyle w:val="FirstParagraph"/>
      </w:pPr>
      <w:r>
        <w:t xml:space="preserve">"In Bogotá’s fast-paced market, our Accountant team doesn’t just process transactions – they translate financial data into actionable growth insights," stated María Fernández, CFO of the Colombia Bogotá Division. "Their work directly supports our sales targets."</w:t>
      </w:r>
    </w:p>
    <w:bookmarkEnd w:id="23"/>
    <w:bookmarkStart w:id="24" w:name="Xb521aa3cac0bd8bed53c2789de6d146be8bf513"/>
    <w:p>
      <w:pPr>
        <w:pStyle w:val="Heading3"/>
      </w:pPr>
      <w:r>
        <w:t xml:space="preserve">Challenges Specific to Colombia Bogotá Operations</w:t>
      </w:r>
    </w:p>
    <w:p>
      <w:pPr>
        <w:pStyle w:val="FirstParagraph"/>
      </w:pPr>
      <w:r>
        <w:t xml:space="preserve">Operating in Bogotá demands unique accounting solutions due to:</w:t>
      </w:r>
    </w:p>
    <w:p>
      <w:pPr>
        <w:numPr>
          <w:ilvl w:val="0"/>
          <w:numId w:val="1003"/>
        </w:numPr>
        <w:pStyle w:val="Compact"/>
      </w:pPr>
      <w:r>
        <w:rPr>
          <w:bCs/>
          <w:b/>
        </w:rPr>
        <w:t xml:space="preserve">Complex Tax Landscape:</w:t>
      </w:r>
      <w:r>
        <w:t xml:space="preserve"> </w:t>
      </w:r>
      <w:r>
        <w:t xml:space="preserve">Multiple municipal taxes (e.g., Impuesto Predial, Alcabala) varying by borough – requiring Accountant teams to maintain 47 distinct tax codes for Bogotá operations.</w:t>
      </w:r>
    </w:p>
    <w:p>
      <w:pPr>
        <w:numPr>
          <w:ilvl w:val="0"/>
          <w:numId w:val="1003"/>
        </w:numPr>
        <w:pStyle w:val="Compact"/>
      </w:pPr>
      <w:r>
        <w:rPr>
          <w:bCs/>
          <w:b/>
        </w:rPr>
        <w:t xml:space="preserve">Currency Volatility:</w:t>
      </w:r>
      <w:r>
        <w:t xml:space="preserve"> </w:t>
      </w:r>
      <w:r>
        <w:t xml:space="preserve">COP/USD fluctuations impacted sales conversions; Accountants implemented monthly forex hedging protocols approved by the Central Bank of Colombia.</w:t>
      </w:r>
    </w:p>
    <w:p>
      <w:pPr>
        <w:numPr>
          <w:ilvl w:val="0"/>
          <w:numId w:val="1003"/>
        </w:numPr>
        <w:pStyle w:val="Compact"/>
      </w:pPr>
      <w:r>
        <w:rPr>
          <w:bCs/>
          <w:b/>
        </w:rPr>
        <w:t xml:space="preserve">Regulatory Turnover:</w:t>
      </w:r>
      <w:r>
        <w:t xml:space="preserve"> </w:t>
      </w:r>
      <w:r>
        <w:t xml:space="preserve">12+ tax regulation updates in Bogotá during Q3 2023 – necessitating Accountant-led team training sessions to maintain compliance.</w:t>
      </w:r>
    </w:p>
    <w:bookmarkEnd w:id="24"/>
    <w:bookmarkStart w:id="25" w:name="X431279d952f1007e91595a51bf8e6a517112562"/>
    <w:p>
      <w:pPr>
        <w:pStyle w:val="Heading3"/>
      </w:pPr>
      <w:r>
        <w:t xml:space="preserve">Actionable Recommendations from the Accountant Team</w:t>
      </w:r>
    </w:p>
    <w:p>
      <w:pPr>
        <w:pStyle w:val="FirstParagraph"/>
      </w:pPr>
      <w:r>
        <w:t xml:space="preserve">To capitalize on Bogotá’s growth trajectory, the Accountant division proposes:</w:t>
      </w:r>
    </w:p>
    <w:p>
      <w:pPr>
        <w:numPr>
          <w:ilvl w:val="0"/>
          <w:numId w:val="1004"/>
        </w:numPr>
        <w:pStyle w:val="Compact"/>
      </w:pPr>
      <w:r>
        <w:rPr>
          <w:bCs/>
          <w:b/>
        </w:rPr>
        <w:t xml:space="preserve">Integrate DIAN API:</w:t>
      </w:r>
      <w:r>
        <w:t xml:space="preserve"> </w:t>
      </w:r>
      <w:r>
        <w:t xml:space="preserve">Automate tax filings via Colombia’s new digital portal (20% time reduction for Bogotá accountants).</w:t>
      </w:r>
    </w:p>
    <w:p>
      <w:pPr>
        <w:numPr>
          <w:ilvl w:val="0"/>
          <w:numId w:val="1004"/>
        </w:numPr>
        <w:pStyle w:val="Compact"/>
      </w:pPr>
      <w:r>
        <w:rPr>
          <w:bCs/>
          <w:b/>
        </w:rPr>
        <w:t xml:space="preserve">Bogotá-Specific KPIs:</w:t>
      </w:r>
      <w:r>
        <w:t xml:space="preserve"> </w:t>
      </w:r>
      <w:r>
        <w:t xml:space="preserve">Track "Tax Compliance Rate" and "Regulatory Adaptation Speed" as core sales performance metrics.</w:t>
      </w:r>
    </w:p>
    <w:p>
      <w:pPr>
        <w:numPr>
          <w:ilvl w:val="0"/>
          <w:numId w:val="1004"/>
        </w:numPr>
        <w:pStyle w:val="Compact"/>
      </w:pPr>
      <w:r>
        <w:rPr>
          <w:bCs/>
          <w:b/>
        </w:rPr>
        <w:t xml:space="preserve">Client Education Program:</w:t>
      </w:r>
      <w:r>
        <w:t xml:space="preserve"> </w:t>
      </w:r>
      <w:r>
        <w:t xml:space="preserve">Host quarterly workshops in La Candelaria for Bogotá SMEs on new tax regulations (projected 25% client retention increase).</w:t>
      </w:r>
    </w:p>
    <w:p>
      <w:pPr>
        <w:numPr>
          <w:ilvl w:val="0"/>
          <w:numId w:val="1004"/>
        </w:numPr>
        <w:pStyle w:val="Compact"/>
      </w:pPr>
      <w:r>
        <w:rPr>
          <w:bCs/>
          <w:b/>
        </w:rPr>
        <w:t xml:space="preserve">Data Localization:</w:t>
      </w:r>
      <w:r>
        <w:t xml:space="preserve"> </w:t>
      </w:r>
      <w:r>
        <w:t xml:space="preserve">Store all Colombia Bogotá sales data on local servers to comply with</w:t>
      </w:r>
      <w:r>
        <w:t xml:space="preserve"> </w:t>
      </w:r>
      <w:r>
        <w:rPr>
          <w:iCs/>
          <w:i/>
        </w:rPr>
        <w:t xml:space="preserve">Ley Estatutaria de Protección de Datos</w:t>
      </w:r>
      <w:r>
        <w:t xml:space="preserve">.</w:t>
      </w:r>
    </w:p>
    <w:bookmarkEnd w:id="25"/>
    <w:bookmarkStart w:id="27" w:name="X4fd89274b5140324fd86202c93a92c42cff1c70"/>
    <w:p>
      <w:pPr>
        <w:pStyle w:val="Heading3"/>
      </w:pPr>
      <w:r>
        <w:t xml:space="preserve">Conclusion: Accountant Excellence as a Sales Catalyst</w:t>
      </w:r>
    </w:p>
    <w:p>
      <w:pPr>
        <w:pStyle w:val="FirstParagraph"/>
      </w:pPr>
      <w:r>
        <w:t xml:space="preserve">The Q3 2023 results prove that in Colombia Bogotá, exceptional accounting isn’t an administrative function – it’s a strategic sales accelerator. By ensuring precise financial reporting, mitigating regulatory risk, and enabling data-driven pricing strategies, our Accountant team directly contributed to a 12.7% revenue surge while maintaining flawless compliance with Colombian law. As Bogotá continues to emerge as Colombia’s economic hub (accounting for 31% of national commerce), the Accountant division’s expertise will be indispensable for scaling sales sustainably and ethically.</w:t>
      </w:r>
    </w:p>
    <w:p>
      <w:pPr>
        <w:pStyle w:val="BodyText"/>
      </w:pPr>
      <w:r>
        <w:rPr>
          <w:bCs/>
          <w:b/>
        </w:rPr>
        <w:t xml:space="preserve">Prepared By:</w:t>
      </w:r>
      <w:r>
        <w:t xml:space="preserve"> </w:t>
      </w:r>
      <w:r>
        <w:t xml:space="preserve">Ana María Ruiz, Senior Accountant | Colombia Bogotá Division | [Company Name]</w:t>
      </w:r>
    </w:p>
    <w:p>
      <w:pPr>
        <w:pStyle w:val="BodyText"/>
      </w:pPr>
      <w:r>
        <w:rPr>
          <w:iCs/>
          <w:i/>
        </w:rPr>
        <w:t xml:space="preserve">"Precision in Numbers. Growth for Bogotá." – Our Accounting Commitment</w:t>
      </w:r>
    </w:p>
    <w:bookmarkStart w:id="26" w:name="X1fa55b5ab9d4d6907d46ccfac5ebf58bc15abfe"/>
    <w:p>
      <w:pPr>
        <w:pStyle w:val="Heading4"/>
      </w:pPr>
      <w:r>
        <w:t xml:space="preserve">Appendix: Compliance Certifications Valid in Colombia Bogotá</w:t>
      </w:r>
    </w:p>
    <w:p>
      <w:pPr>
        <w:numPr>
          <w:ilvl w:val="0"/>
          <w:numId w:val="1005"/>
        </w:numPr>
        <w:pStyle w:val="Compact"/>
      </w:pPr>
      <w:r>
        <w:t xml:space="preserve">Certificado de Cumplimiento DIAN (2023)</w:t>
      </w:r>
    </w:p>
    <w:p>
      <w:pPr>
        <w:numPr>
          <w:ilvl w:val="0"/>
          <w:numId w:val="1005"/>
        </w:numPr>
        <w:pStyle w:val="Compact"/>
      </w:pPr>
      <w:r>
        <w:t xml:space="preserve">Sello de Calidad Cámara de Comercio Bogotá</w:t>
      </w:r>
    </w:p>
    <w:p>
      <w:pPr>
        <w:numPr>
          <w:ilvl w:val="0"/>
          <w:numId w:val="1005"/>
        </w:numPr>
        <w:pStyle w:val="Compact"/>
      </w:pPr>
      <w:r>
        <w:t xml:space="preserve">Conformidad con NIF-C-18 (Normas Internacionales)</w:t>
      </w:r>
    </w:p>
    <w:p>
      <w:pPr>
        <w:pStyle w:val="FirstParagraph"/>
      </w:pPr>
      <w:r>
        <w:rPr>
          <w:iCs/>
          <w:i/>
        </w:rPr>
        <w:t xml:space="preserve">Disclaimer: All figures based on Colombian peso (COP) at 4,050 COP/USD. Data sourced from DIAN, DANE, and internal Bogotá systems as of September 30, 2023.</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Colombia Bogotá Sales Performance Report | Accountant Analysis</dc:title>
  <dc:creator/>
  <dc:language>en</dc:language>
  <cp:keywords/>
  <dcterms:created xsi:type="dcterms:W3CDTF">2026-07-24T00:27:43Z</dcterms:created>
  <dcterms:modified xsi:type="dcterms:W3CDTF">2026-07-24T00:27:43Z</dcterms:modified>
</cp:coreProperties>
</file>

<file path=docProps/custom.xml><?xml version="1.0" encoding="utf-8"?>
<Properties xmlns="http://schemas.openxmlformats.org/officeDocument/2006/custom-properties" xmlns:vt="http://schemas.openxmlformats.org/officeDocument/2006/docPropsVTypes"/>
</file>