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Analysis</w:t>
      </w:r>
      <w:r>
        <w:t xml:space="preserve"> </w:t>
      </w:r>
      <w:r>
        <w:t xml:space="preserve">-</w:t>
      </w:r>
      <w:r>
        <w:t xml:space="preserve"> </w:t>
      </w:r>
      <w:r>
        <w:t xml:space="preserve">Medellín</w:t>
      </w:r>
      <w:r>
        <w:t xml:space="preserve"> </w:t>
      </w:r>
      <w:r>
        <w:t xml:space="preserve">Accountant</w:t>
      </w:r>
      <w:r>
        <w:t xml:space="preserve"> </w:t>
      </w:r>
      <w:r>
        <w:t xml:space="preserve">Department</w:t>
      </w:r>
    </w:p>
    <w:bookmarkStart w:id="27" w:name="X94d4cda5238b5f102da67d0829667adff3ea28c"/>
    <w:p>
      <w:pPr>
        <w:pStyle w:val="Heading1"/>
      </w:pPr>
      <w:r>
        <w:t xml:space="preserve">Q3 2023 Comprehensive Sales Report Analysis for Accounting Operations in Colombia Medellín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Medellín Accounting Division |</w:t>
      </w:r>
      <w:r>
        <w:t xml:space="preserve"> </w:t>
      </w:r>
      <w:r>
        <w:rPr>
          <w:bCs/>
          <w:b/>
        </w:rPr>
        <w:t xml:space="preserve">Prepared By:</w:t>
      </w:r>
      <w:r>
        <w:t xml:space="preserve"> </w:t>
      </w:r>
      <w:r>
        <w:t xml:space="preserve">Carlos Mendoza, Certified Accountant (Colombia)</w:t>
      </w:r>
    </w:p>
    <w:bookmarkStart w:id="20" w:name="executive-summary"/>
    <w:p>
      <w:pPr>
        <w:pStyle w:val="Heading2"/>
      </w:pPr>
      <w:r>
        <w:t xml:space="preserve">Executive Summary</w:t>
      </w:r>
    </w:p>
    <w:p>
      <w:pPr>
        <w:pStyle w:val="FirstParagraph"/>
      </w:pPr>
      <w:r>
        <w:t xml:space="preserve">This Sales Report documents the third-quarter financial performance across all commercial operations within Colombia Medellín. As the dedicated Accountant for our Medellín operations center, I've conducted a thorough analysis of sales data from July to September 2023, ensuring strict compliance with Colombian tax regulations (Decree 1860 of 2019) and local accounting standards. This report serves as the critical foundation for strategic decision-making and fiscal accountability in our Medellín business hub. The findings reveal a 14.7% year-over-year growth in sales revenue, though significant challenges persist in tax compliance and regional market adaptation that require immediate attention from our Accountant team.</w:t>
      </w:r>
    </w:p>
    <w:bookmarkEnd w:id="20"/>
    <w:bookmarkStart w:id="21" w:name="key-sales-performance-metrics-q3-2023"/>
    <w:p>
      <w:pPr>
        <w:pStyle w:val="Heading2"/>
      </w:pPr>
      <w:r>
        <w:t xml:space="preserve">Key Sales Performance Metrics (Q3 2023)</w:t>
      </w:r>
    </w:p>
    <w:p>
      <w:pPr>
        <w:pStyle w:val="FirstParagraph"/>
      </w:pPr>
      <w:r>
        <w:t xml:space="preserve">Our Medellín operations achieved total sales of COP 48.7 billion during Q3, with notable growth in two sectors:</w:t>
      </w:r>
    </w:p>
    <w:p>
      <w:pPr>
        <w:numPr>
          <w:ilvl w:val="0"/>
          <w:numId w:val="1001"/>
        </w:numPr>
        <w:pStyle w:val="Compact"/>
      </w:pPr>
      <w:r>
        <w:rPr>
          <w:bCs/>
          <w:b/>
        </w:rPr>
        <w:t xml:space="preserve">Technology Solutions:</w:t>
      </w:r>
      <w:r>
        <w:t xml:space="preserve"> </w:t>
      </w:r>
      <w:r>
        <w:t xml:space="preserve">+19% YoY (COP 18.2B) driven by new contracts with Medellín-based tech startups</w:t>
      </w:r>
    </w:p>
    <w:p>
      <w:pPr>
        <w:numPr>
          <w:ilvl w:val="0"/>
          <w:numId w:val="1001"/>
        </w:numPr>
        <w:pStyle w:val="Compact"/>
      </w:pPr>
      <w:r>
        <w:rPr>
          <w:bCs/>
          <w:b/>
        </w:rPr>
        <w:t xml:space="preserve">Retail Distribution:</w:t>
      </w:r>
      <w:r>
        <w:t xml:space="preserve"> </w:t>
      </w:r>
      <w:r>
        <w:t xml:space="preserve">+8.3% YoY (COP 22.5B) reflecting increased consumer spending in Antioquia region</w:t>
      </w:r>
    </w:p>
    <w:p>
      <w:pPr>
        <w:pStyle w:val="FirstParagraph"/>
      </w:pPr>
      <w:r>
        <w:t xml:space="preserve">However, the Sales Report indicates a concerning 23% increase in accounts receivable aging beyond 90 days – directly impacting our cash flow position. As Accountant for Colombia Medellín, I've verified these figures against all supporting documents (invoices, shipping records, payment terms) to ensure absolute accuracy before inclusion in this Sales Report.</w:t>
      </w:r>
    </w:p>
    <w:bookmarkEnd w:id="21"/>
    <w:bookmarkStart w:id="22" w:name="X1f19ed4963e8603bfb781da94486cadb0fd95e5"/>
    <w:p>
      <w:pPr>
        <w:pStyle w:val="Heading2"/>
      </w:pPr>
      <w:r>
        <w:t xml:space="preserve">Accounting Compliance Analysis: Colombia Medellín Context</w:t>
      </w:r>
    </w:p>
    <w:p>
      <w:pPr>
        <w:pStyle w:val="FirstParagraph"/>
      </w:pPr>
      <w:r>
        <w:t xml:space="preserve">Colombia's complex tax environment demands meticulous attention from every Accountant operating in Medellín. This Sales Report incorporates critical adjustments for:</w:t>
      </w:r>
    </w:p>
    <w:p>
      <w:pPr>
        <w:numPr>
          <w:ilvl w:val="0"/>
          <w:numId w:val="1002"/>
        </w:numPr>
        <w:pStyle w:val="Compact"/>
      </w:pPr>
      <w:r>
        <w:rPr>
          <w:bCs/>
          <w:b/>
        </w:rPr>
        <w:t xml:space="preserve">IVA (Value Added Tax):</w:t>
      </w:r>
      <w:r>
        <w:t xml:space="preserve"> </w:t>
      </w:r>
      <w:r>
        <w:t xml:space="preserve">Correct application of 19% rate on all domestic sales per Resolution 052 of 2023. Our Q3 IVA filings show a 6.8% discrepancy reduction from Q2 due to improved invoice coding by the sales team.</w:t>
      </w:r>
    </w:p>
    <w:p>
      <w:pPr>
        <w:numPr>
          <w:ilvl w:val="0"/>
          <w:numId w:val="1002"/>
        </w:numPr>
        <w:pStyle w:val="Compact"/>
      </w:pPr>
      <w:r>
        <w:rPr>
          <w:bCs/>
          <w:b/>
        </w:rPr>
        <w:t xml:space="preserve">ISR (Individual Income Tax):</w:t>
      </w:r>
      <w:r>
        <w:t xml:space="preserve"> </w:t>
      </w:r>
      <w:r>
        <w:t xml:space="preserve">Proper withholding on service contracts requiring adjustments to our Medellín-based vendor payments.</w:t>
      </w:r>
    </w:p>
    <w:p>
      <w:pPr>
        <w:numPr>
          <w:ilvl w:val="0"/>
          <w:numId w:val="1002"/>
        </w:numPr>
        <w:pStyle w:val="Compact"/>
      </w:pPr>
      <w:r>
        <w:rPr>
          <w:bCs/>
          <w:b/>
        </w:rPr>
        <w:t xml:space="preserve">Tax Authority Reporting:</w:t>
      </w:r>
      <w:r>
        <w:t xml:space="preserve"> </w:t>
      </w:r>
      <w:r>
        <w:t xml:space="preserve">All data aligned with DIAN (National Tax and Customs Directorate) requirements for Medellín tax offices.</w:t>
      </w:r>
    </w:p>
    <w:p>
      <w:pPr>
        <w:pStyle w:val="FirstParagraph"/>
      </w:pPr>
      <w:r>
        <w:t xml:space="preserve">The Sales Report validation process identified 12 instances where sales data didn't meet Colombian accounting standards – these were corrected before finalizing this document. This exemplifies the Accountant's indispensable role in maintaining regulatory integrity for Colombia Medellín operations.</w:t>
      </w:r>
    </w:p>
    <w:bookmarkEnd w:id="22"/>
    <w:bookmarkStart w:id="23" w:name="regional-market-challenges-in-medellín"/>
    <w:p>
      <w:pPr>
        <w:pStyle w:val="Heading2"/>
      </w:pPr>
      <w:r>
        <w:t xml:space="preserve">Regional Market Challenges in Medellín</w:t>
      </w:r>
    </w:p>
    <w:p>
      <w:pPr>
        <w:pStyle w:val="FirstParagraph"/>
      </w:pPr>
      <w:r>
        <w:t xml:space="preserve">Operating within Colombia Medellín presents unique commercial dynamics that directly influence sales performance:</w:t>
      </w:r>
    </w:p>
    <w:p>
      <w:pPr>
        <w:numPr>
          <w:ilvl w:val="0"/>
          <w:numId w:val="1003"/>
        </w:numPr>
        <w:pStyle w:val="Compact"/>
      </w:pPr>
      <w:r>
        <w:rPr>
          <w:bCs/>
          <w:b/>
        </w:rPr>
        <w:t xml:space="preserve">Infrastructure Variability:</w:t>
      </w:r>
      <w:r>
        <w:t xml:space="preserve"> </w:t>
      </w:r>
      <w:r>
        <w:t xml:space="preserve">Sales data from peripheral zones (e.g., El Poblado, Envigado) showed 17% higher delivery costs than city-center operations due to uneven road networks – a factor our Accountant must now factor into future pricing models.</w:t>
      </w:r>
    </w:p>
    <w:p>
      <w:pPr>
        <w:numPr>
          <w:ilvl w:val="0"/>
          <w:numId w:val="1003"/>
        </w:numPr>
        <w:pStyle w:val="Compact"/>
      </w:pPr>
      <w:r>
        <w:rPr>
          <w:bCs/>
          <w:b/>
        </w:rPr>
        <w:t xml:space="preserve">Consumer Behavior Shifts:</w:t>
      </w:r>
      <w:r>
        <w:t xml:space="preserve"> </w:t>
      </w:r>
      <w:r>
        <w:t xml:space="preserve">Medellín's urban population demonstrated 22% increased preference for digital payment methods (e-wallets, mobile banking), requiring real-time sales tracking adjustments in our accounting system.</w:t>
      </w:r>
    </w:p>
    <w:p>
      <w:pPr>
        <w:numPr>
          <w:ilvl w:val="0"/>
          <w:numId w:val="1003"/>
        </w:numPr>
        <w:pStyle w:val="Compact"/>
      </w:pPr>
      <w:r>
        <w:rPr>
          <w:bCs/>
          <w:b/>
        </w:rPr>
        <w:t xml:space="preserve">Competitive Pressure:</w:t>
      </w:r>
      <w:r>
        <w:t xml:space="preserve"> </w:t>
      </w:r>
      <w:r>
        <w:t xml:space="preserve">New entrants in the Medellín market reduced average transaction value by 5.4% – a trend reflected in our Sales Report that demands strategic pricing analysis by the Accountant team.</w:t>
      </w:r>
    </w:p>
    <w:bookmarkEnd w:id="23"/>
    <w:bookmarkStart w:id="24" w:name="accountant-department-recommendations"/>
    <w:p>
      <w:pPr>
        <w:pStyle w:val="Heading2"/>
      </w:pPr>
      <w:r>
        <w:t xml:space="preserve">Accountant Department Recommendations</w:t>
      </w:r>
    </w:p>
    <w:p>
      <w:pPr>
        <w:pStyle w:val="FirstParagraph"/>
      </w:pPr>
      <w:r>
        <w:t xml:space="preserve">Based on this Sales Report analysis, I propose these critical actions for our Colombia Medellín operations:</w:t>
      </w:r>
    </w:p>
    <w:p>
      <w:pPr>
        <w:pStyle w:val="BodyText"/>
      </w:pPr>
      <w:r>
        <w:rPr>
          <w:bCs/>
          <w:b/>
        </w:rPr>
        <w:t xml:space="preserve">Implement Real-Time Tax Compliance Module:</w:t>
      </w:r>
      <w:r>
        <w:t xml:space="preserve"> </w:t>
      </w:r>
      <w:r>
        <w:t xml:space="preserve">Integrate DIAN's new digital tax portal (Sistema de Facturación Electrónica) into our accounting software to prevent future compliance gaps. This requires immediate training for all Accountant staff in Medellín.</w:t>
      </w:r>
    </w:p>
    <w:p>
      <w:pPr>
        <w:pStyle w:val="BodyText"/>
      </w:pPr>
      <w:r>
        <w:rPr>
          <w:bCs/>
          <w:b/>
        </w:rPr>
        <w:t xml:space="preserve">Develop Regional Sales Forecasting Tool:</w:t>
      </w:r>
      <w:r>
        <w:t xml:space="preserve"> </w:t>
      </w:r>
      <w:r>
        <w:t xml:space="preserve">Create a localized model incorporating Medellín's seasonal buying patterns (e.g., holiday peaks, university cycles) – this will transform how we use our Sales Report for predictive planning.</w:t>
      </w:r>
    </w:p>
    <w:p>
      <w:pPr>
        <w:pStyle w:val="BodyText"/>
      </w:pPr>
      <w:r>
        <w:rPr>
          <w:bCs/>
          <w:b/>
        </w:rPr>
        <w:t xml:space="preserve">Establish Cross-Departmental Review Protocol:</w:t>
      </w:r>
      <w:r>
        <w:t xml:space="preserve"> </w:t>
      </w:r>
      <w:r>
        <w:t xml:space="preserve">Mandatory quarterly alignment between sales teams and Accountant department to validate data integrity before inclusion in official reports. This addresses the 19% error rate in sales documentation identified during this Q3 review.</w:t>
      </w:r>
    </w:p>
    <w:p>
      <w:pPr>
        <w:numPr>
          <w:ilvl w:val="0"/>
          <w:numId w:val="1004"/>
        </w:numPr>
        <w:pStyle w:val="Compact"/>
      </w:pPr>
      <w:r>
        <w:rPr>
          <w:iCs/>
          <w:i/>
        </w:rPr>
        <w:t xml:space="preserve">Example:</w:t>
      </w:r>
      <w:r>
        <w:t xml:space="preserve"> </w:t>
      </w:r>
      <w:r>
        <w:t xml:space="preserve">Sales representatives must now submit payment terms with customer contracts, which our Accountant team will verify against Medellín's commercial code before invoice generation.</w:t>
      </w:r>
    </w:p>
    <w:bookmarkEnd w:id="24"/>
    <w:bookmarkStart w:id="25" w:name="financial-impact-assessment"/>
    <w:p>
      <w:pPr>
        <w:pStyle w:val="Heading2"/>
      </w:pPr>
      <w:r>
        <w:t xml:space="preserve">Financial Impact Assessment</w:t>
      </w:r>
    </w:p>
    <w:p>
      <w:pPr>
        <w:pStyle w:val="FirstParagraph"/>
      </w:pPr>
      <w:r>
        <w:t xml:space="preserve">This Sales Report reveals both opportunities and risks for our Colombia Medellín business:</w:t>
      </w:r>
    </w:p>
    <w:p>
      <w:pPr>
        <w:pStyle w:val="BodyText"/>
      </w:pPr>
      <w:r>
        <w:t xml:space="preserve">Indicator</w:t>
      </w:r>
    </w:p>
    <w:p>
      <w:pPr>
        <w:pStyle w:val="BodyText"/>
      </w:pPr>
      <w:r>
        <w:t xml:space="preserve">Q3 2023</w:t>
      </w:r>
    </w:p>
    <w:p>
      <w:pPr>
        <w:pStyle w:val="BodyText"/>
      </w:pPr>
      <w:r>
        <w:t xml:space="preserve">Change from Q2</w:t>
      </w:r>
    </w:p>
    <w:p>
      <w:pPr>
        <w:pStyle w:val="BodyText"/>
      </w:pPr>
      <w:r>
        <w:t xml:space="preserve">Net Profit Margin</w:t>
      </w:r>
    </w:p>
    <w:p>
      <w:pPr>
        <w:pStyle w:val="BodyText"/>
      </w:pPr>
      <w:r>
        <w:t xml:space="preserve">18.7%</w:t>
      </w:r>
    </w:p>
    <w:p>
      <w:pPr>
        <w:pStyle w:val="BodyText"/>
      </w:pPr>
      <w:r>
        <w:t xml:space="preserve">+0.9% (due to tax optimization)</w:t>
      </w:r>
    </w:p>
    <w:p>
      <w:pPr>
        <w:pStyle w:val="BodyText"/>
      </w:pPr>
      <w:r>
        <w:t xml:space="preserve">Daily Sales Conversion Rate</w:t>
      </w:r>
    </w:p>
    <w:p>
      <w:pPr>
        <w:pStyle w:val="BodyText"/>
      </w:pPr>
      <w:r>
        <w:t xml:space="preserve">COP 536M/day</w:t>
      </w:r>
    </w:p>
    <w:p>
      <w:pPr>
        <w:pStyle w:val="BodyText"/>
      </w:pPr>
      <w:r>
        <w:t xml:space="preserve">Accountant-Specific Findings</w:t>
      </w:r>
    </w:p>
    <w:p>
      <w:pPr>
        <w:pStyle w:val="BodyText"/>
      </w:pPr>
      <w:r>
        <w:t xml:space="preserve">Tax Filing Accuracy Rate (Medellín)</w:t>
      </w:r>
    </w:p>
    <w:p>
      <w:pPr>
        <w:pStyle w:val="BodyText"/>
      </w:pPr>
      <w:r>
        <w:t xml:space="preserve">94.3%</w:t>
      </w:r>
    </w:p>
    <w:p>
      <w:pPr>
        <w:pStyle w:val="BodyText"/>
      </w:pPr>
      <w:r>
        <w:t xml:space="preserve">+5.1% since June 2023</w:t>
      </w:r>
    </w:p>
    <w:p>
      <w:pPr>
        <w:pStyle w:val="BodyText"/>
      </w:pPr>
      <w:r>
        <w:t xml:space="preserve">Accounts Receivable Turnover</w:t>
      </w:r>
    </w:p>
    <w:p>
      <w:pPr>
        <w:pStyle w:val="BodyText"/>
      </w:pPr>
      <w:r>
        <w:t xml:space="preserve">4.7x</w:t>
      </w:r>
    </w:p>
    <w:p>
      <w:pPr>
        <w:pStyle w:val="BodyText"/>
      </w:pPr>
      <w:r>
        <w:t xml:space="preserve">The positive tax compliance trend demonstrates our Accountant team's effectiveness, but the accounts receivable turnover rate remains below Medellín industry benchmark (5.2x). As the lead Accountant for Colombia Medellín operations, I've initiated a credit risk assessment protocol to address this gap.</w:t>
      </w:r>
    </w:p>
    <w:bookmarkEnd w:id="25"/>
    <w:bookmarkStart w:id="26" w:name="X8dad1f38d7045667146e63ad007ab782b6e6485"/>
    <w:p>
      <w:pPr>
        <w:pStyle w:val="Heading2"/>
      </w:pPr>
      <w:r>
        <w:t xml:space="preserve">Conclusion: The Accountant's Strategic Role in Colombia Medellín</w:t>
      </w:r>
    </w:p>
    <w:p>
      <w:pPr>
        <w:pStyle w:val="FirstParagraph"/>
      </w:pPr>
      <w:r>
        <w:t xml:space="preserve">This Sales Report transcends mere numbers – it is the financial compass guiding our strategic direction in Colombia. In Medellín's dynamic economic landscape, where 68% of small businesses operate without dedicated accounting staff (National Confederation of Chambers, 2023), our meticulous Sales Report process establishes a competitive advantage. The Accountant's role has evolved from transaction processing to proactive business intelligence: identifying tax optimization opportunities in Colombia Medellín's evolving regulatory environment, preventing revenue leakage through accurate sales tracking, and enabling data-driven decisions that position us for sustainable growth.</w:t>
      </w:r>
    </w:p>
    <w:p>
      <w:pPr>
        <w:pStyle w:val="BodyText"/>
      </w:pPr>
      <w:r>
        <w:t xml:space="preserve">As we move into Q4, I urge all departments to recognize that every sales interaction generates data requiring Accountant validation. This Sales Report serves as both a historical record and a forward-looking tool – testament to how effective accounting practice in Colombia Medellín transforms raw sales data into strategic capital. Our commitment to rigorous financial management, exemplified in this report, remains our strongest asset for thriving amid Medellín's complex market conditions.</w:t>
      </w:r>
    </w:p>
    <w:p>
      <w:pPr>
        <w:pStyle w:val="BodyText"/>
      </w:pPr>
      <w:r>
        <w:rPr>
          <w:bCs/>
          <w:b/>
        </w:rPr>
        <w:t xml:space="preserve">Next Steps:</w:t>
      </w:r>
      <w:r>
        <w:t xml:space="preserve"> </w:t>
      </w:r>
      <w:r>
        <w:t xml:space="preserve">Accountant team will present implementation roadmap for tax compliance module to Medellín operations committee on November 15, 2023. All regional managers required to sign-off on revised sales data protocols by October 30.</w:t>
      </w:r>
    </w:p>
    <w:p>
      <w:pPr>
        <w:pStyle w:val="BodyText"/>
      </w:pPr>
      <w:r>
        <w:rPr>
          <w:iCs/>
          <w:i/>
        </w:rPr>
        <w:t xml:space="preserve">This Sales Report has been prepared in accordance with Colombian Accounting Standards (NIC) and local tax regulations. Certified by Carlos Mendoza, CPA Colombia Medellín (Registration #458972),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Analysis - Medellín Accountant Department</dc:title>
  <dc:creator/>
  <dc:language>en</dc:language>
  <cp:keywords/>
  <dcterms:created xsi:type="dcterms:W3CDTF">2025-12-11T15:56:04Z</dcterms:created>
  <dcterms:modified xsi:type="dcterms:W3CDTF">2025-12-11T15:56:04Z</dcterms:modified>
</cp:coreProperties>
</file>

<file path=docProps/custom.xml><?xml version="1.0" encoding="utf-8"?>
<Properties xmlns="http://schemas.openxmlformats.org/officeDocument/2006/custom-properties" xmlns:vt="http://schemas.openxmlformats.org/officeDocument/2006/docPropsVTypes"/>
</file>