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France</w:t>
      </w:r>
      <w:r>
        <w:t xml:space="preserve"> </w:t>
      </w:r>
      <w:r>
        <w:t xml:space="preserve">Paris</w:t>
      </w:r>
    </w:p>
    <w:bookmarkStart w:id="28" w:name="X00f01061996bc37b1e1d29a3afce79527f882bb"/>
    <w:p>
      <w:pPr>
        <w:pStyle w:val="Heading1"/>
      </w:pPr>
      <w:r>
        <w:t xml:space="preserve">Comprehensive Sales Report: Accountant Services Performance Analysis for France Paris Market</w:t>
      </w:r>
    </w:p>
    <w:bookmarkStart w:id="20" w:name="executive-summary"/>
    <w:p>
      <w:pPr>
        <w:pStyle w:val="Heading2"/>
      </w:pPr>
      <w:r>
        <w:t xml:space="preserve">Executive Summary</w:t>
      </w:r>
    </w:p>
    <w:p>
      <w:pPr>
        <w:pStyle w:val="FirstParagraph"/>
      </w:pPr>
      <w:r>
        <w:t xml:space="preserve">This Sales Report details the financial performance and strategic positioning of our accountant services within the dynamic business ecosystem of France Paris. As a critical component of our international expansion strategy, the Paris-based accounting division has demonstrated remarkable resilience and growth potential despite complex regulatory environments. This document provides an in-depth analysis from January to September 2023, highlighting key sales metrics, market challenges specific to France Paris, and actionable recommendations for future growth. The role of the Accountant extends beyond basic bookkeeping – it serves as the financial backbone supporting sales initiatives across our Parisian client portfolio.</w:t>
      </w:r>
    </w:p>
    <w:bookmarkEnd w:id="20"/>
    <w:bookmarkStart w:id="21" w:name="X513c78f28f7b00b9bdb7193bc0dbe56ac1d5a97"/>
    <w:p>
      <w:pPr>
        <w:pStyle w:val="Heading2"/>
      </w:pPr>
      <w:r>
        <w:t xml:space="preserve">Market Context: Accounting Landscape in France Paris</w:t>
      </w:r>
    </w:p>
    <w:p>
      <w:pPr>
        <w:pStyle w:val="FirstParagraph"/>
      </w:pPr>
      <w:r>
        <w:t xml:space="preserve">The French accounting landscape presents unique opportunities and complexities, particularly within Paris where 40% of France's Fortune 500 companies maintain headquarters. As an Accountant operating in this environment, we must navigate the intricacies of French tax law (Code Général des Impôts), mandatory VAT structures (TVA), and industry-specific regulations. The Paris market demands high-precision financial reporting aligned with both international standards and local requirements. This Sales Report emphasizes how our Accountant professionals deliver compliance-driven solutions that directly enhance sales performance for client businesses.</w:t>
      </w:r>
    </w:p>
    <w:bookmarkEnd w:id="21"/>
    <w:bookmarkStart w:id="23" w:name="Xff5724df997ec76d9c895481e2a910af3ff5425"/>
    <w:p>
      <w:pPr>
        <w:pStyle w:val="Heading2"/>
      </w:pPr>
      <w:r>
        <w:t xml:space="preserve">Sales Performance Overview (January - September 2023)</w:t>
      </w:r>
    </w:p>
    <w:p>
      <w:pPr>
        <w:pStyle w:val="FirstParagraph"/>
      </w:pPr>
      <w:r>
        <w:t xml:space="preserve">Our Paris office achieved a remarkable 18% year-over-year increase in accountant service revenue, totaling €1.87M compared to €1.59M in the previous year. This growth outpaced the Paris regional average of 9%, positioning us as a top performer in France Paris market segmentation.</w:t>
      </w:r>
    </w:p>
    <w:p>
      <w:pPr>
        <w:pStyle w:val="BodyText"/>
      </w:pPr>
      <w:r>
        <w:t xml:space="preserve">Quarter</w:t>
      </w:r>
    </w:p>
    <w:p>
      <w:pPr>
        <w:pStyle w:val="BodyText"/>
      </w:pPr>
      <w:r>
        <w:t xml:space="preserve">Revenue (€)</w:t>
      </w:r>
    </w:p>
    <w:p>
      <w:pPr>
        <w:pStyle w:val="BodyText"/>
      </w:pPr>
      <w:r>
        <w:t xml:space="preserve">Client Acquisition Rate</w:t>
      </w:r>
    </w:p>
    <w:p>
      <w:pPr>
        <w:pStyle w:val="BodyText"/>
      </w:pPr>
      <w:r>
        <w:t xml:space="preserve">Service Adoption Rate</w:t>
      </w:r>
    </w:p>
    <w:p>
      <w:pPr>
        <w:pStyle w:val="BodyText"/>
      </w:pPr>
      <w:r>
        <w:t xml:space="preserve">Q1 2023</w:t>
      </w:r>
    </w:p>
    <w:p>
      <w:pPr>
        <w:pStyle w:val="BodyText"/>
      </w:pPr>
      <w:r>
        <w:t xml:space="preserve">520,000</w:t>
      </w:r>
    </w:p>
    <w:p>
      <w:pPr>
        <w:pStyle w:val="BodyText"/>
      </w:pPr>
      <w:r>
        <w:t xml:space="preserve">17.8%</w:t>
      </w:r>
    </w:p>
    <w:p>
      <w:pPr>
        <w:pStyle w:val="BodyText"/>
      </w:pPr>
      <w:r>
        <w:t xml:space="preserve">68%</w:t>
      </w:r>
    </w:p>
    <w:p>
      <w:pPr>
        <w:pStyle w:val="BodyText"/>
      </w:pPr>
      <w:r>
        <w:t xml:space="preserve">Q2 2023</w:t>
      </w:r>
    </w:p>
    <w:p>
      <w:pPr>
        <w:pStyle w:val="BodyText"/>
      </w:pPr>
      <w:r>
        <w:t xml:space="preserve">635,000</w:t>
      </w:r>
    </w:p>
    <w:p>
      <w:pPr>
        <w:pStyle w:val="BodyText"/>
      </w:pPr>
      <w:r>
        <w:t xml:space="preserve">24.1%</w:t>
      </w:r>
    </w:p>
    <w:p>
      <w:pPr>
        <w:pStyle w:val="BodyText"/>
      </w:pPr>
      <w:r>
        <w:t xml:space="preserve">Total (YTD)</w:t>
      </w:r>
    </w:p>
    <w:p>
      <w:pPr>
        <w:pStyle w:val="BodyText"/>
      </w:pPr>
      <w:r>
        <w:t xml:space="preserve">1,875,000</w:t>
      </w:r>
    </w:p>
    <w:p>
      <w:pPr>
        <w:pStyle w:val="BodyText"/>
      </w:pPr>
      <w:r>
        <w:t xml:space="preserve">Average 21.9% Growth</w:t>
      </w:r>
    </w:p>
    <w:bookmarkStart w:id="22" w:name="key-revenue-drivers-in-france-paris"/>
    <w:p>
      <w:pPr>
        <w:pStyle w:val="Heading3"/>
      </w:pPr>
      <w:r>
        <w:t xml:space="preserve">Key Revenue Drivers in France Paris:</w:t>
      </w:r>
    </w:p>
    <w:p>
      <w:pPr>
        <w:numPr>
          <w:ilvl w:val="0"/>
          <w:numId w:val="1001"/>
        </w:numPr>
        <w:pStyle w:val="Compact"/>
      </w:pPr>
      <w:r>
        <w:rPr>
          <w:bCs/>
          <w:b/>
        </w:rPr>
        <w:t xml:space="preserve">Corporate Tax Optimization Services:</w:t>
      </w:r>
      <w:r>
        <w:t xml:space="preserve"> </w:t>
      </w:r>
      <w:r>
        <w:t xml:space="preserve">Accountant-led initiatives generated €760K in revenue through strategic VAT reclaims and tax-efficient structures for multinational clients, including major Paris-based fashion brands.</w:t>
      </w:r>
    </w:p>
    <w:p>
      <w:pPr>
        <w:numPr>
          <w:ilvl w:val="0"/>
          <w:numId w:val="1001"/>
        </w:numPr>
        <w:pStyle w:val="Compact"/>
      </w:pPr>
      <w:r>
        <w:rPr>
          <w:bCs/>
          <w:b/>
        </w:rPr>
        <w:t xml:space="preserve">Compliance Package Sales:</w:t>
      </w:r>
      <w:r>
        <w:t xml:space="preserve"> </w:t>
      </w:r>
      <w:r>
        <w:t xml:space="preserve">Our "Paris Business Compliance Suite" (including annual financial statements and statutory audits) achieved 89% client retention rate, directly tied to Accountant expertise in French regulatory requirements.</w:t>
      </w:r>
    </w:p>
    <w:p>
      <w:pPr>
        <w:numPr>
          <w:ilvl w:val="0"/>
          <w:numId w:val="1001"/>
        </w:numPr>
        <w:pStyle w:val="Compact"/>
      </w:pPr>
      <w:r>
        <w:rPr>
          <w:bCs/>
          <w:b/>
        </w:rPr>
        <w:t xml:space="preserve">Sales Tax Advisory:</w:t>
      </w:r>
      <w:r>
        <w:t xml:space="preserve"> </w:t>
      </w:r>
      <w:r>
        <w:t xml:space="preserve">Specialized accountant services for e-commerce clients saw 135% growth, capitalizing on Paris's status as Europe's leading digital commerce hub.</w:t>
      </w:r>
    </w:p>
    <w:bookmarkEnd w:id="22"/>
    <w:bookmarkEnd w:id="23"/>
    <w:bookmarkStart w:id="24" w:name="accountant-performance-metrics-analysis"/>
    <w:p>
      <w:pPr>
        <w:pStyle w:val="Heading2"/>
      </w:pPr>
      <w:r>
        <w:t xml:space="preserve">Accountant Performance Metrics Analysis</w:t>
      </w:r>
    </w:p>
    <w:p>
      <w:pPr>
        <w:pStyle w:val="FirstParagraph"/>
      </w:pPr>
      <w:r>
        <w:t xml:space="preserve">The success of this Sales Report hinges on the strategic value delivered by our Accountant professionals in France Paris. Key performance indicators reveal how accounting expertise directly fuels sales outcomes:</w:t>
      </w:r>
    </w:p>
    <w:p>
      <w:pPr>
        <w:numPr>
          <w:ilvl w:val="0"/>
          <w:numId w:val="1002"/>
        </w:numPr>
        <w:pStyle w:val="Compact"/>
      </w:pPr>
      <w:r>
        <w:rPr>
          <w:bCs/>
          <w:b/>
        </w:rPr>
        <w:t xml:space="preserve">Client Acquisition Quality:</w:t>
      </w:r>
      <w:r>
        <w:t xml:space="preserve"> </w:t>
      </w:r>
      <w:r>
        <w:t xml:space="preserve">Clients acquired through accountant-led financial health assessments demonstrated 42% higher lifetime value than standard marketing leads, proving the Accountant's role as a sales catalyst.</w:t>
      </w:r>
    </w:p>
    <w:p>
      <w:pPr>
        <w:numPr>
          <w:ilvl w:val="0"/>
          <w:numId w:val="1002"/>
        </w:numPr>
        <w:pStyle w:val="Compact"/>
      </w:pPr>
      <w:r>
        <w:rPr>
          <w:bCs/>
          <w:b/>
        </w:rPr>
        <w:t xml:space="preserve">Service Cross-Sell Success:</w:t>
      </w:r>
      <w:r>
        <w:t xml:space="preserve"> </w:t>
      </w:r>
      <w:r>
        <w:t xml:space="preserve">Paris-based Accountants achieved 3.2 additional service adoptions per client annually (vs. industry average of 1.7), directly elevating sales metrics through comprehensive financial solutions.</w:t>
      </w:r>
    </w:p>
    <w:p>
      <w:pPr>
        <w:numPr>
          <w:ilvl w:val="0"/>
          <w:numId w:val="1002"/>
        </w:numPr>
        <w:pStyle w:val="Compact"/>
      </w:pPr>
      <w:r>
        <w:rPr>
          <w:bCs/>
          <w:b/>
        </w:rPr>
        <w:t xml:space="preserve">Regulatory Compliance as Sales Tool:</w:t>
      </w:r>
      <w:r>
        <w:t xml:space="preserve"> </w:t>
      </w:r>
      <w:r>
        <w:t xml:space="preserve">Our Accountant team's mastery of French payroll regulations (e.g., mandatory social security contributions) reduced client operational risks by 68%, becoming a primary differentiator in competitive bids.</w:t>
      </w:r>
    </w:p>
    <w:bookmarkEnd w:id="24"/>
    <w:bookmarkStart w:id="25" w:name="france-paris-specific-market-challenges"/>
    <w:p>
      <w:pPr>
        <w:pStyle w:val="Heading2"/>
      </w:pPr>
      <w:r>
        <w:t xml:space="preserve">France Paris-Specific Market Challenges</w:t>
      </w:r>
    </w:p>
    <w:p>
      <w:pPr>
        <w:pStyle w:val="FirstParagraph"/>
      </w:pPr>
      <w:r>
        <w:t xml:space="preserve">Navigating the Parisian business environment requires specialized accountant skills that directly impact sales outcomes:</w:t>
      </w:r>
    </w:p>
    <w:p>
      <w:pPr>
        <w:numPr>
          <w:ilvl w:val="0"/>
          <w:numId w:val="1003"/>
        </w:numPr>
        <w:pStyle w:val="Compact"/>
      </w:pPr>
      <w:r>
        <w:rPr>
          <w:bCs/>
          <w:b/>
        </w:rPr>
        <w:t xml:space="preserve">Complex Taxation Frameworks:</w:t>
      </w:r>
      <w:r>
        <w:t xml:space="preserve"> </w:t>
      </w:r>
      <w:r>
        <w:t xml:space="preserve">The French tax system's complexity (including 16 different VAT rates and industry-specific levies) demands Accountant expertise to prevent costly compliance errors. Our Paris team reduced client audit findings by 74% through proactive accounting interventions.</w:t>
      </w:r>
    </w:p>
    <w:p>
      <w:pPr>
        <w:numPr>
          <w:ilvl w:val="0"/>
          <w:numId w:val="1003"/>
        </w:numPr>
        <w:pStyle w:val="Compact"/>
      </w:pPr>
      <w:r>
        <w:rPr>
          <w:bCs/>
          <w:b/>
        </w:rPr>
        <w:t xml:space="preserve">Cultural Business Nuances:</w:t>
      </w:r>
      <w:r>
        <w:t xml:space="preserve"> </w:t>
      </w:r>
      <w:r>
        <w:t xml:space="preserve">In France Paris, relationship-building precedes transactional discussions. Accountant professionals consistently leverage local cultural understanding (e.g., preference for face-to-face negotiations during lunch meetings) to convert leads into long-term clients, contributing to our 82% repeat business rate.</w:t>
      </w:r>
    </w:p>
    <w:p>
      <w:pPr>
        <w:numPr>
          <w:ilvl w:val="0"/>
          <w:numId w:val="1003"/>
        </w:numPr>
        <w:pStyle w:val="Compact"/>
      </w:pPr>
      <w:r>
        <w:rPr>
          <w:bCs/>
          <w:b/>
        </w:rPr>
        <w:t xml:space="preserve">Regulatory Volatility:</w:t>
      </w:r>
      <w:r>
        <w:t xml:space="preserve"> </w:t>
      </w:r>
      <w:r>
        <w:t xml:space="preserve">Recent French legislation changes (including 2023 Tax Simplification Act) required Accountant teams to rapidly implement new financial reporting protocols. Our Paris office achieved 100% compliance ahead of deadlines, preventing potential client attrition during critical sales cycles.</w:t>
      </w:r>
    </w:p>
    <w:bookmarkEnd w:id="25"/>
    <w:bookmarkStart w:id="26" w:name="X564fa4c802416031866481f2656b0b263460c60"/>
    <w:p>
      <w:pPr>
        <w:pStyle w:val="Heading2"/>
      </w:pPr>
      <w:r>
        <w:t xml:space="preserve">Strategic Recommendations for Enhanced Sales Performance</w:t>
      </w:r>
    </w:p>
    <w:p>
      <w:pPr>
        <w:pStyle w:val="FirstParagraph"/>
      </w:pPr>
      <w:r>
        <w:t xml:space="preserve">To capitalize on the France Paris market's potential, this Sales Report proposes three accountant-driven initiatives:</w:t>
      </w:r>
    </w:p>
    <w:p>
      <w:pPr>
        <w:numPr>
          <w:ilvl w:val="0"/>
          <w:numId w:val="1004"/>
        </w:numPr>
        <w:pStyle w:val="Compact"/>
      </w:pPr>
      <w:r>
        <w:rPr>
          <w:bCs/>
          <w:b/>
        </w:rPr>
        <w:t xml:space="preserve">Paris-Specific Accountant Certification Program:</w:t>
      </w:r>
      <w:r>
        <w:t xml:space="preserve"> </w:t>
      </w:r>
      <w:r>
        <w:t xml:space="preserve">Develop a mandatory certification in French commercial law and tax regulations for all Accountant staff. This will position our firm as the premier accounting authority in France Paris, directly increasing sales conversion rates by 25%.</w:t>
      </w:r>
    </w:p>
    <w:p>
      <w:pPr>
        <w:numPr>
          <w:ilvl w:val="0"/>
          <w:numId w:val="1004"/>
        </w:numPr>
        <w:pStyle w:val="Compact"/>
      </w:pPr>
      <w:r>
        <w:rPr>
          <w:bCs/>
          <w:b/>
        </w:rPr>
        <w:t xml:space="preserve">Integrated Sales-Service KPIs:</w:t>
      </w:r>
      <w:r>
        <w:t xml:space="preserve"> </w:t>
      </w:r>
      <w:r>
        <w:t xml:space="preserve">Implement shared performance metrics between sales teams and Accountant professionals. For example, tie Accountant bonus structures to client retention rates of newly acquired accounts – ensuring accounting excellence directly supports revenue growth.</w:t>
      </w:r>
    </w:p>
    <w:p>
      <w:pPr>
        <w:numPr>
          <w:ilvl w:val="0"/>
          <w:numId w:val="1004"/>
        </w:numPr>
        <w:pStyle w:val="Compact"/>
      </w:pPr>
      <w:r>
        <w:rPr>
          <w:bCs/>
          <w:b/>
        </w:rPr>
        <w:t xml:space="preserve">Localized Digital Accounting Tools:</w:t>
      </w:r>
      <w:r>
        <w:t xml:space="preserve"> </w:t>
      </w:r>
      <w:r>
        <w:t xml:space="preserve">Launch a Paris-specific version of our financial platform with pre-configured French VAT templates and real-time regulatory updates. This will reduce service delivery time by 40% while enabling Accountant professionals to offer faster, more accurate sales solutions to prospective clients.</w:t>
      </w:r>
    </w:p>
    <w:bookmarkEnd w:id="26"/>
    <w:bookmarkStart w:id="27" w:name="X5d43d4365832f93d264905319faa5894e17fdb1"/>
    <w:p>
      <w:pPr>
        <w:pStyle w:val="Heading2"/>
      </w:pPr>
      <w:r>
        <w:t xml:space="preserve">Conclusion: The Accountant as Sales Catalyst in France Paris</w:t>
      </w:r>
    </w:p>
    <w:p>
      <w:pPr>
        <w:pStyle w:val="FirstParagraph"/>
      </w:pPr>
      <w:r>
        <w:t xml:space="preserve">This Sales Report conclusively demonstrates that in the competitive France Paris market, the Accountant has evolved from a back-office function to a strategic revenue driver. Our data reveals that every €1 invested in specialized accountant services generates €4.30 in sales outcomes through enhanced client trust, compliance assurance, and service-led growth. As we look ahead to Q4 2023 and beyond, the Accountant's role will be central to capturing Paris's expanding luxury retail and fintech sectors – where financial precision is non-negotiable for business success.</w:t>
      </w:r>
    </w:p>
    <w:p>
      <w:pPr>
        <w:pStyle w:val="BodyText"/>
      </w:pPr>
      <w:r>
        <w:t xml:space="preserve">Paris represents more than just a geographic market; it embodies the pinnacle of French business sophistication where accounting excellence directly translates to sales dominance. Our continued investment in Accountant capabilities within France Paris will cement our position as the preferred financial partner for growth-oriented enterprises seeking to thrive in this dynamic environment. This Sales Report serves as both an achievement summary and a blueprint for leveraging accounting expertise to drive unprecedented sales growth across France's most pivotal commercial hub.</w:t>
      </w:r>
    </w:p>
    <w:p>
      <w:pPr>
        <w:pStyle w:val="BodyText"/>
      </w:pPr>
      <w:r>
        <w:rPr>
          <w:bCs/>
          <w:b/>
        </w:rPr>
        <w:t xml:space="preserve">Prepared By:</w:t>
      </w:r>
      <w:r>
        <w:t xml:space="preserve"> </w:t>
      </w:r>
      <w:r>
        <w:t xml:space="preserve">International Financial Strategy Team</w:t>
      </w:r>
      <w:r>
        <w:br/>
      </w:r>
      <w:r>
        <w:rPr>
          <w:bCs/>
          <w:b/>
        </w:rPr>
        <w:t xml:space="preserve">Date:</w:t>
      </w:r>
      <w:r>
        <w:t xml:space="preserve"> </w:t>
      </w:r>
      <w:r>
        <w:t xml:space="preserve">October 26, 2023</w:t>
      </w:r>
      <w:r>
        <w:br/>
      </w:r>
      <w:r>
        <w:rPr>
          <w:bCs/>
          <w:b/>
        </w:rPr>
        <w:t xml:space="preserve">For Internal Use: Paris Accountant Services Division -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Services in France Paris</dc:title>
  <dc:creator/>
  <dc:language>en</dc:language>
  <cp:keywords/>
  <dcterms:created xsi:type="dcterms:W3CDTF">2026-07-23T13:23:21Z</dcterms:created>
  <dcterms:modified xsi:type="dcterms:W3CDTF">2026-07-23T13:23:21Z</dcterms:modified>
</cp:coreProperties>
</file>

<file path=docProps/custom.xml><?xml version="1.0" encoding="utf-8"?>
<Properties xmlns="http://schemas.openxmlformats.org/officeDocument/2006/custom-properties" xmlns:vt="http://schemas.openxmlformats.org/officeDocument/2006/docPropsVTypes"/>
</file>