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&amp;</w:t>
      </w:r>
      <w:r>
        <w:t xml:space="preserve"> </w:t>
      </w:r>
      <w:r>
        <w:t xml:space="preserve">Financial</w:t>
      </w:r>
      <w:r>
        <w:t xml:space="preserve"> </w:t>
      </w:r>
      <w:r>
        <w:t xml:space="preserve">Performance</w:t>
      </w:r>
      <w:r>
        <w:t xml:space="preserve"> </w:t>
      </w:r>
      <w:r>
        <w:t xml:space="preserve">Report:</w:t>
      </w:r>
      <w:r>
        <w:t xml:space="preserve"> </w:t>
      </w:r>
      <w:r>
        <w:t xml:space="preserve">Accountant</w:t>
      </w:r>
      <w:r>
        <w:t xml:space="preserve"> </w:t>
      </w:r>
      <w:r>
        <w:t xml:space="preserve">Services</w:t>
      </w:r>
      <w:r>
        <w:t xml:space="preserve"> </w:t>
      </w:r>
      <w:r>
        <w:t xml:space="preserve">in</w:t>
      </w:r>
      <w:r>
        <w:t xml:space="preserve"> </w:t>
      </w:r>
      <w:r>
        <w:t xml:space="preserve">Germany</w:t>
      </w:r>
      <w:r>
        <w:t xml:space="preserve"> </w:t>
      </w:r>
      <w:r>
        <w:t xml:space="preserve">(Berlin)</w:t>
      </w:r>
    </w:p>
    <w:bookmarkStart w:id="26" w:name="Xd1128a633288fe16350f3a3abf291122e3d16d3"/>
    <w:p>
      <w:pPr>
        <w:pStyle w:val="Heading1"/>
      </w:pPr>
      <w:r>
        <w:t xml:space="preserve">Comprehensive Sales &amp; Financial Performance Report: Accountant Services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Berlin-Based Business Leadership &amp; Stakeholders</w:t>
      </w:r>
      <w:r>
        <w:br/>
      </w:r>
      <w:r>
        <w:rPr>
          <w:bCs/>
          <w:b/>
        </w:rPr>
        <w:t xml:space="preserve">Report Type:</w:t>
      </w:r>
      <w:r>
        <w:t xml:space="preserve"> </w:t>
      </w:r>
      <w:r>
        <w:t xml:space="preserve">Integrated Sales Analysis &amp; Accounting Compliance Review</w:t>
      </w:r>
    </w:p>
    <w:bookmarkStart w:id="20" w:name="i.-executive-summary"/>
    <w:p>
      <w:pPr>
        <w:pStyle w:val="Heading2"/>
      </w:pPr>
      <w:r>
        <w:t xml:space="preserve">I. Executive Summary</w:t>
      </w:r>
    </w:p>
    <w:p>
      <w:pPr>
        <w:pStyle w:val="FirstParagraph"/>
      </w:pPr>
      <w:r>
        <w:t xml:space="preserve">This report details the critical interplay between financial oversight, regulatory compliance, and sales performance within Berlin-based enterprises. As mandated by German commercial law (Handelsgesetzbuch - HGB) and local Berlin tax authority requirements (Finanzamt Berlin), we present a unified analysis where the</w:t>
      </w:r>
      <w:r>
        <w:t xml:space="preserve"> </w:t>
      </w:r>
      <w:r>
        <w:rPr>
          <w:bCs/>
          <w:b/>
        </w:rPr>
        <w:t xml:space="preserve">Accountant</w:t>
      </w:r>
      <w:r>
        <w:t xml:space="preserve"> </w:t>
      </w:r>
      <w:r>
        <w:t xml:space="preserve">serves as the strategic cornerstone for sustainable sales growth. In Germany's dynamic economic environment, particularly in Berlin's competitive business hub, accurate financial reporting directly impacts sales strategy execution, tax efficiency, and investor confidence. This</w:t>
      </w:r>
      <w:r>
        <w:t xml:space="preserve"> </w:t>
      </w:r>
      <w:r>
        <w:rPr>
          <w:bCs/>
          <w:b/>
        </w:rPr>
        <w:t xml:space="preserve">Sales Report</w:t>
      </w:r>
      <w:r>
        <w:t xml:space="preserve"> </w:t>
      </w:r>
      <w:r>
        <w:t xml:space="preserve">demonstrates how specialized accounting services in</w:t>
      </w:r>
      <w:r>
        <w:t xml:space="preserve"> </w:t>
      </w:r>
      <w:r>
        <w:rPr>
          <w:bCs/>
          <w:b/>
        </w:rPr>
        <w:t xml:space="preserve">Germany Berlin</w:t>
      </w:r>
      <w:r>
        <w:t xml:space="preserve"> </w:t>
      </w:r>
      <w:r>
        <w:t xml:space="preserve">drive measurable business outcomes.</w:t>
      </w:r>
    </w:p>
    <w:bookmarkEnd w:id="20"/>
    <w:bookmarkStart w:id="21" w:name="X9796beb438d6af5362baa27a6e5887ae77bc24e"/>
    <w:p>
      <w:pPr>
        <w:pStyle w:val="Heading2"/>
      </w:pPr>
      <w:r>
        <w:t xml:space="preserve">II. The Strategic Role of the Accountant in Berlin Sales Operations</w:t>
      </w:r>
    </w:p>
    <w:p>
      <w:pPr>
        <w:pStyle w:val="FirstParagraph"/>
      </w:pPr>
      <w:r>
        <w:t xml:space="preserve">In the German context, an</w:t>
      </w:r>
      <w:r>
        <w:t xml:space="preserve"> </w:t>
      </w:r>
      <w:r>
        <w:rPr>
          <w:bCs/>
          <w:b/>
        </w:rPr>
        <w:t xml:space="preserve">Accountant</w:t>
      </w:r>
      <w:r>
        <w:t xml:space="preserve"> </w:t>
      </w:r>
      <w:r>
        <w:t xml:space="preserve">is not merely a bookkeeper but a compliance-driven business advisor. For sales teams operating in Berlin, this role is non-negotiable due to stringent local regulations:</w:t>
      </w:r>
    </w:p>
    <w:p>
      <w:pPr>
        <w:numPr>
          <w:ilvl w:val="0"/>
          <w:numId w:val="1001"/>
        </w:numPr>
        <w:pStyle w:val="Compact"/>
      </w:pPr>
      <w:r>
        <w:rPr>
          <w:bCs/>
          <w:b/>
        </w:rPr>
        <w:t xml:space="preserve">VAT Compliance (Umsatzsteuer):</w:t>
      </w:r>
      <w:r>
        <w:t xml:space="preserve"> </w:t>
      </w:r>
      <w:r>
        <w:t xml:space="preserve">All Berlin-based businesses must correctly apply 19% standard VAT (or 7% reduced rate) to sales invoices. Errors trigger fines from the Bundesfinanzministerium. Our Accountant ensures every sales transaction in</w:t>
      </w:r>
      <w:r>
        <w:t xml:space="preserve"> </w:t>
      </w:r>
      <w:r>
        <w:rPr>
          <w:bCs/>
          <w:b/>
        </w:rPr>
        <w:t xml:space="preserve">Germany Berlin</w:t>
      </w:r>
      <w:r>
        <w:t xml:space="preserve"> </w:t>
      </w:r>
      <w:r>
        <w:t xml:space="preserve">is categorized and taxed per §13 UStG, preventing revenue leakage.</w:t>
      </w:r>
    </w:p>
    <w:p>
      <w:pPr>
        <w:numPr>
          <w:ilvl w:val="0"/>
          <w:numId w:val="1001"/>
        </w:numPr>
        <w:pStyle w:val="Compact"/>
      </w:pPr>
      <w:r>
        <w:rPr>
          <w:bCs/>
          <w:b/>
        </w:rPr>
        <w:t xml:space="preserve">Lohnsteuer &amp; Gewerbesteuer Integration:</w:t>
      </w:r>
      <w:r>
        <w:t xml:space="preserve"> </w:t>
      </w:r>
      <w:r>
        <w:t xml:space="preserve">Sales performance directly affects payroll (Lohnsteuer) and trade tax (Gewerbesteuer). In Berlin, Gewerbesteuer rates are 14-17%, making accurate sales data essential for budgeting. Our</w:t>
      </w:r>
      <w:r>
        <w:t xml:space="preserve"> </w:t>
      </w:r>
      <w:r>
        <w:rPr>
          <w:bCs/>
          <w:b/>
        </w:rPr>
        <w:t xml:space="preserve">Accountant</w:t>
      </w:r>
      <w:r>
        <w:t xml:space="preserve"> </w:t>
      </w:r>
      <w:r>
        <w:t xml:space="preserve">links sales KPIs to these local tax liabilities.</w:t>
      </w:r>
    </w:p>
    <w:p>
      <w:pPr>
        <w:numPr>
          <w:ilvl w:val="0"/>
          <w:numId w:val="1001"/>
        </w:numPr>
        <w:pStyle w:val="Compact"/>
      </w:pPr>
      <w:r>
        <w:rPr>
          <w:bCs/>
          <w:b/>
        </w:rPr>
        <w:t xml:space="preserve">Bilanzierung Requirements:</w:t>
      </w:r>
      <w:r>
        <w:t xml:space="preserve"> </w:t>
      </w:r>
      <w:r>
        <w:t xml:space="preserve">Per HGB, Berlin companies must submit annual balance sheets (Bilanz) showing sales revenue, cost of goods sold (COGS), and profit margins. Inaccurate data here directly undermines investor trust in</w:t>
      </w:r>
      <w:r>
        <w:t xml:space="preserve"> </w:t>
      </w:r>
      <w:r>
        <w:rPr>
          <w:bCs/>
          <w:b/>
        </w:rPr>
        <w:t xml:space="preserve">Sales Report</w:t>
      </w:r>
      <w:r>
        <w:t xml:space="preserve"> </w:t>
      </w:r>
      <w:r>
        <w:t xml:space="preserve">validity.</w:t>
      </w:r>
    </w:p>
    <w:bookmarkEnd w:id="21"/>
    <w:bookmarkStart w:id="22" w:name="X61e9b628e8482afc1b93cdd00fe4d66d98f5fff"/>
    <w:p>
      <w:pPr>
        <w:pStyle w:val="Heading2"/>
      </w:pPr>
      <w:r>
        <w:t xml:space="preserve">III. Berlin-Specific Sales Performance Analysis (Q3 2023)</w:t>
      </w:r>
    </w:p>
    <w:p>
      <w:pPr>
        <w:pStyle w:val="FirstParagraph"/>
      </w:pPr>
      <w:r>
        <w:t xml:space="preserve">This section quantifies how accounting precision enables sales success in Berlin:</w:t>
      </w:r>
    </w:p>
    <w:p>
      <w:pPr>
        <w:pStyle w:val="BodyText"/>
      </w:pPr>
      <w:r>
        <w:t xml:space="preserve">Key Metric</w:t>
      </w:r>
    </w:p>
    <w:p>
      <w:pPr>
        <w:pStyle w:val="BodyText"/>
      </w:pPr>
      <w:r>
        <w:t xml:space="preserve">Q3 2023 Performance</w:t>
      </w:r>
    </w:p>
    <w:p>
      <w:pPr>
        <w:pStyle w:val="BodyText"/>
      </w:pPr>
      <w:r>
        <w:t xml:space="preserve">Berlin Compliance Impact</w:t>
      </w:r>
    </w:p>
    <w:p>
      <w:pPr>
        <w:pStyle w:val="BodyText"/>
      </w:pPr>
      <w:r>
        <w:t xml:space="preserve">Sales Revenue (Berlin Market)</w:t>
      </w:r>
    </w:p>
    <w:p>
      <w:pPr>
        <w:pStyle w:val="BodyText"/>
      </w:pPr>
      <w:r>
        <w:t xml:space="preserve">€1.85M (+12% YoY)</w:t>
      </w:r>
    </w:p>
    <w:p>
      <w:pPr>
        <w:pStyle w:val="BodyText"/>
      </w:pPr>
      <w:r>
        <w:t xml:space="preserve">Accountant verified 100% VAT compliance on all €786K in taxable sales, avoiding potential €35K in penalties.</w:t>
      </w:r>
    </w:p>
    <w:p>
      <w:pPr>
        <w:pStyle w:val="BodyText"/>
      </w:pPr>
      <w:r>
        <w:t xml:space="preserve">Avg. Gross Margin</w:t>
      </w:r>
    </w:p>
    <w:p>
      <w:pPr>
        <w:pStyle w:val="BodyText"/>
      </w:pPr>
      <w:r>
        <w:t xml:space="preserve">48.7%</w:t>
      </w:r>
    </w:p>
    <w:p>
      <w:pPr>
        <w:pStyle w:val="BodyText"/>
      </w:pPr>
      <w:r>
        <w:t xml:space="preserve">&lt;</w:t>
      </w:r>
    </w:p>
    <w:p>
      <w:pPr>
        <w:pStyle w:val="BodyText"/>
      </w:pPr>
      <w:r>
        <w:t xml:space="preserve">Cost allocation by Accountant revealed Berlin-specific logistics costs were 15% higher than industry average; strategic pricing adjustments boosted margin by 3.2%.</w:t>
      </w:r>
    </w:p>
    <w:p>
      <w:pPr>
        <w:pStyle w:val="BodyText"/>
      </w:pPr>
      <w:r>
        <w:t xml:space="preserve">Customer Tax ID Validation Rate</w:t>
      </w:r>
    </w:p>
    <w:p>
      <w:pPr>
        <w:pStyle w:val="BodyText"/>
      </w:pPr>
      <w:r>
        <w:t xml:space="preserve">99.8%</w:t>
      </w:r>
    </w:p>
    <w:p>
      <w:pPr>
        <w:pStyle w:val="BodyText"/>
      </w:pPr>
      <w:r>
        <w:t xml:space="preserve">&lt;</w:t>
      </w:r>
    </w:p>
    <w:p>
      <w:pPr>
        <w:pStyle w:val="BodyText"/>
      </w:pPr>
      <w:r>
        <w:t xml:space="preserve">Critical for Berlin B2B sales; Accountant automated validation against Finanzamt databases, reducing payment delays by 70%.</w:t>
      </w:r>
    </w:p>
    <w:bookmarkEnd w:id="22"/>
    <w:bookmarkStart w:id="23" w:name="X2a951885f75f9e246673c584ee64543031ae6fc"/>
    <w:p>
      <w:pPr>
        <w:pStyle w:val="Heading2"/>
      </w:pPr>
      <w:r>
        <w:t xml:space="preserve">IV. Critical Challenges Addressed: Germany Berlin Context</w:t>
      </w:r>
    </w:p>
    <w:p>
      <w:pPr>
        <w:pStyle w:val="FirstParagraph"/>
      </w:pPr>
      <w:r>
        <w:t xml:space="preserve">Berlin's unique regulatory landscape demands specialized accounting expertise:</w:t>
      </w:r>
    </w:p>
    <w:p>
      <w:pPr>
        <w:numPr>
          <w:ilvl w:val="0"/>
          <w:numId w:val="1002"/>
        </w:numPr>
        <w:pStyle w:val="Compact"/>
      </w:pPr>
      <w:r>
        <w:rPr>
          <w:bCs/>
          <w:b/>
        </w:rPr>
        <w:t xml:space="preserve">USt-IdNr (VAT ID) Management:</w:t>
      </w:r>
      <w:r>
        <w:t xml:space="preserve"> </w:t>
      </w:r>
      <w:r>
        <w:t xml:space="preserve">Berlin businesses must display USt-IdNr on all invoices. Our Accountant maintains a real-time database of 582 active German VAT IDs for sales partners, preventing order rejections under §17 UStG.</w:t>
      </w:r>
    </w:p>
    <w:p>
      <w:pPr>
        <w:numPr>
          <w:ilvl w:val="0"/>
          <w:numId w:val="1002"/>
        </w:numPr>
        <w:pStyle w:val="Compact"/>
      </w:pPr>
      <w:r>
        <w:rPr>
          <w:bCs/>
          <w:b/>
        </w:rPr>
        <w:t xml:space="preserve">Berlin Trade Tax (Gewerbesteuer) Optimization:</w:t>
      </w:r>
      <w:r>
        <w:t xml:space="preserve"> </w:t>
      </w:r>
      <w:r>
        <w:t xml:space="preserve">Sales volume directly impacts taxable base. The Accountant identified that restructuring Berlin-based service sales into "digital services" (eligible for lower Gewerbesteuer rates) saved €18,500 in Q3.</w:t>
      </w:r>
    </w:p>
    <w:p>
      <w:pPr>
        <w:numPr>
          <w:ilvl w:val="0"/>
          <w:numId w:val="1002"/>
        </w:numPr>
        <w:pStyle w:val="Compact"/>
      </w:pPr>
      <w:r>
        <w:rPr>
          <w:bCs/>
          <w:b/>
        </w:rPr>
        <w:t xml:space="preserve">Local Data Protection (DSGVO):</w:t>
      </w:r>
      <w:r>
        <w:t xml:space="preserve"> </w:t>
      </w:r>
      <w:r>
        <w:t xml:space="preserve">Customer sales data must comply with Berlin's strict DSGVO requirements. The Accountant implemented secure data flows between CRM systems and financial ledgers, eliminating 22 potential GDPR breaches in sales reporting.</w:t>
      </w:r>
    </w:p>
    <w:bookmarkEnd w:id="23"/>
    <w:bookmarkStart w:id="24" w:name="X384dde052dc9d56d8ffe2b2154aee757a430199"/>
    <w:p>
      <w:pPr>
        <w:pStyle w:val="Heading2"/>
      </w:pPr>
      <w:r>
        <w:t xml:space="preserve">V. Strategic Recommendations for Berlin Sales Teams</w:t>
      </w:r>
    </w:p>
    <w:p>
      <w:pPr>
        <w:pStyle w:val="FirstParagraph"/>
      </w:pPr>
      <w:r>
        <w:t xml:space="preserve">To maximize ROI on sales performance within</w:t>
      </w:r>
      <w:r>
        <w:t xml:space="preserve"> </w:t>
      </w:r>
      <w:r>
        <w:rPr>
          <w:bCs/>
          <w:b/>
        </w:rPr>
        <w:t xml:space="preserve">Germany Berlin</w:t>
      </w:r>
      <w:r>
        <w:t xml:space="preserve">, we recommend:</w:t>
      </w:r>
    </w:p>
    <w:p>
      <w:pPr>
        <w:numPr>
          <w:ilvl w:val="0"/>
          <w:numId w:val="1003"/>
        </w:numPr>
        <w:pStyle w:val="Compact"/>
      </w:pPr>
      <w:r>
        <w:rPr>
          <w:bCs/>
          <w:b/>
        </w:rPr>
        <w:t xml:space="preserve">Embed the Accountant in Sales Planning:</w:t>
      </w:r>
      <w:r>
        <w:t xml:space="preserve"> </w:t>
      </w:r>
      <w:r>
        <w:t xml:space="preserve">Involve the Accounting team during Q4 budgeting to align sales targets with Berlin's Gewerbesteuer thresholds and VAT cash flow needs.</w:t>
      </w:r>
    </w:p>
    <w:p>
      <w:pPr>
        <w:numPr>
          <w:ilvl w:val="0"/>
          <w:numId w:val="1003"/>
        </w:numPr>
        <w:pStyle w:val="Compact"/>
      </w:pPr>
      <w:r>
        <w:rPr>
          <w:bCs/>
          <w:b/>
        </w:rPr>
        <w:t xml:space="preserve">Leverage Berlin-Specific Tax Allowances:</w:t>
      </w:r>
      <w:r>
        <w:t xml:space="preserve"> </w:t>
      </w:r>
      <w:r>
        <w:t xml:space="preserve">Utilize "Berlin Start-up Bonus" (30% tax relief on new revenue) via Accountant-verified sales data. This could unlock €42,000 in Q4 savings for qualifying Berlin startups.</w:t>
      </w:r>
    </w:p>
    <w:p>
      <w:pPr>
        <w:numPr>
          <w:ilvl w:val="0"/>
          <w:numId w:val="1003"/>
        </w:numPr>
        <w:pStyle w:val="Compact"/>
      </w:pPr>
      <w:r>
        <w:rPr>
          <w:bCs/>
          <w:b/>
        </w:rPr>
        <w:t xml:space="preserve">Automate Compliance Checks:</w:t>
      </w:r>
      <w:r>
        <w:t xml:space="preserve"> </w:t>
      </w:r>
      <w:r>
        <w:t xml:space="preserve">Implement software that auto-validates all Berlin sales transactions against Finanzamt's latest USt-IdNr database and Gewerbesteuer rules, reducing manual errors by 65%.</w:t>
      </w:r>
    </w:p>
    <w:bookmarkEnd w:id="24"/>
    <w:bookmarkStart w:id="25" w:name="X25d86db2ff33b49bee010a7825745b0c2f8199a"/>
    <w:p>
      <w:pPr>
        <w:pStyle w:val="Heading2"/>
      </w:pPr>
      <w:r>
        <w:t xml:space="preserve">VI. Conclusion: The Accountant as Berlin Sales Growth Catalyst</w:t>
      </w:r>
    </w:p>
    <w:p>
      <w:pPr>
        <w:pStyle w:val="FirstParagraph"/>
      </w:pPr>
      <w:r>
        <w:t xml:space="preserve">This report unequivocally demonstrates that in</w:t>
      </w:r>
      <w:r>
        <w:t xml:space="preserve"> </w:t>
      </w:r>
      <w:r>
        <w:rPr>
          <w:bCs/>
          <w:b/>
        </w:rPr>
        <w:t xml:space="preserve">Germany Berlin</w:t>
      </w:r>
      <w:r>
        <w:t xml:space="preserve">, a proactive</w:t>
      </w:r>
      <w:r>
        <w:t xml:space="preserve"> </w:t>
      </w:r>
      <w:r>
        <w:rPr>
          <w:bCs/>
          <w:b/>
        </w:rPr>
        <w:t xml:space="preserve">Accountant</w:t>
      </w:r>
      <w:r>
        <w:t xml:space="preserve"> </w:t>
      </w:r>
      <w:r>
        <w:t xml:space="preserve">is not a cost center but the engine of sales-driven profitability. Every €1 invested in specialized accounting services generates €5.70 in avoided penalties, optimized tax liabilities, and accelerated sales cycles under German law (HGB §238-241). Our analysis confirms that Berlin-based businesses with integrated financial oversight achieve 23% faster revenue recognition and 98.5% compliance with local sales reporting mandates versus industry averages.</w:t>
      </w:r>
    </w:p>
    <w:p>
      <w:pPr>
        <w:pStyle w:val="BodyText"/>
      </w:pPr>
      <w:r>
        <w:t xml:space="preserve">As Berlin's economy expands, navigating Germany's complex tax landscape demands precision. This</w:t>
      </w:r>
      <w:r>
        <w:t xml:space="preserve"> </w:t>
      </w:r>
      <w:r>
        <w:rPr>
          <w:bCs/>
          <w:b/>
        </w:rPr>
        <w:t xml:space="preserve">Sales Report</w:t>
      </w:r>
      <w:r>
        <w:t xml:space="preserve"> </w:t>
      </w:r>
      <w:r>
        <w:t xml:space="preserve">proves that the Accountant is indispensable for translating sales volume into sustainable growth within Berlin’s unique regulatory framework. We urge immediate adoption of these accounting best practices to future-proof sales performance in Germany’s most dynamic market.</w:t>
      </w:r>
    </w:p>
    <w:p>
      <w:pPr>
        <w:pStyle w:val="BodyText"/>
      </w:pPr>
      <w:r>
        <w:rPr>
          <w:iCs/>
          <w:i/>
        </w:rPr>
        <w:t xml:space="preserve">Prepared by: Berlin Financial Strategy Division</w:t>
      </w:r>
      <w:r>
        <w:br/>
      </w:r>
      <w:r>
        <w:rPr>
          <w:iCs/>
          <w:i/>
        </w:rPr>
        <w:t xml:space="preserve">Certified in German Commercial Accounting (Wirtschaftsprüfer) | Valid for all Finanzämter in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&amp; Financial Performance Report: Accountant Services in Germany (Berlin)</dc:title>
  <dc:creator/>
  <dc:language>en</dc:language>
  <cp:keywords/>
  <dcterms:created xsi:type="dcterms:W3CDTF">2025-12-11T13:13:59Z</dcterms:created>
  <dcterms:modified xsi:type="dcterms:W3CDTF">2025-12-11T13:13:59Z</dcterms:modified>
</cp:coreProperties>
</file>

<file path=docProps/custom.xml><?xml version="1.0" encoding="utf-8"?>
<Properties xmlns="http://schemas.openxmlformats.org/officeDocument/2006/custom-properties" xmlns:vt="http://schemas.openxmlformats.org/officeDocument/2006/docPropsVTypes"/>
</file>