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Analysis</w:t>
      </w:r>
      <w:r>
        <w:t xml:space="preserve"> </w:t>
      </w:r>
      <w:r>
        <w:t xml:space="preserve">-</w:t>
      </w:r>
      <w:r>
        <w:t xml:space="preserve"> </w:t>
      </w:r>
      <w:r>
        <w:t xml:space="preserve">Frankfurt</w:t>
      </w:r>
      <w:r>
        <w:t xml:space="preserve"> </w:t>
      </w:r>
      <w:r>
        <w:t xml:space="preserve">Germany</w:t>
      </w:r>
    </w:p>
    <w:bookmarkStart w:id="26" w:name="Xdd33a95cb1da4af7bb034b4c3e938c8906be98e"/>
    <w:p>
      <w:pPr>
        <w:pStyle w:val="Heading1"/>
      </w:pPr>
      <w:r>
        <w:t xml:space="preserve">Comprehensive Sales Report: Accountant Performance and Strategic Insights for Frankfurt Operations, Germany</w:t>
      </w:r>
    </w:p>
    <w:p>
      <w:pPr>
        <w:pStyle w:val="FirstParagraph"/>
      </w:pPr>
      <w:r>
        <w:rPr>
          <w:bCs/>
          <w:b/>
        </w:rPr>
        <w:t xml:space="preserve">Prepared for Executive Leadership Team | Frankfurt, Germany | October 2023</w:t>
      </w:r>
    </w:p>
    <w:bookmarkStart w:id="20" w:name="executive-summary"/>
    <w:p>
      <w:pPr>
        <w:pStyle w:val="Heading2"/>
      </w:pPr>
      <w:r>
        <w:t xml:space="preserve">Executive Summary</w:t>
      </w:r>
    </w:p>
    <w:p>
      <w:pPr>
        <w:pStyle w:val="FirstParagraph"/>
      </w:pPr>
      <w:r>
        <w:t xml:space="preserve">This report presents a detailed analysis of the critical role played by our Accountant within the sales ecosystem at our Frankfurt headquarters. As Germany's premier financial hub, Frankfurt demands exceptional precision in sales accounting, tax compliance, and revenue reporting. The Accountant team has demonstrated significant value in optimizing sales data accuracy, ensuring adherence to German regulatory frameworks (including UStG and HGB), and directly contributing to improved sales forecasting. This</w:t>
      </w:r>
      <w:r>
        <w:t xml:space="preserve"> </w:t>
      </w:r>
      <w:r>
        <w:rPr>
          <w:bCs/>
          <w:b/>
        </w:rPr>
        <w:t xml:space="preserve">Sales Report</w:t>
      </w:r>
      <w:r>
        <w:t xml:space="preserve"> </w:t>
      </w:r>
      <w:r>
        <w:t xml:space="preserve">underscores how the Accountant function is indispensable for maintaining Frankfurt's competitive edge in Germany's finance sector. All findings are grounded in Q3 2023 performance metrics, reflecting our commitment to transparency within the</w:t>
      </w:r>
      <w:r>
        <w:t xml:space="preserve"> </w:t>
      </w:r>
      <w:r>
        <w:rPr>
          <w:bCs/>
          <w:b/>
        </w:rPr>
        <w:t xml:space="preserve">Germany Frankfurt</w:t>
      </w:r>
      <w:r>
        <w:t xml:space="preserve"> </w:t>
      </w:r>
      <w:r>
        <w:t xml:space="preserve">business environment.</w:t>
      </w:r>
    </w:p>
    <w:bookmarkEnd w:id="20"/>
    <w:bookmarkStart w:id="21" w:name="X619c5ac302f18b88e224b40be9350125088eb9d"/>
    <w:p>
      <w:pPr>
        <w:pStyle w:val="Heading2"/>
      </w:pPr>
      <w:r>
        <w:t xml:space="preserve">Analysis of Sales Data Accuracy and Accountant Support</w:t>
      </w:r>
    </w:p>
    <w:p>
      <w:pPr>
        <w:pStyle w:val="FirstParagraph"/>
      </w:pPr>
      <w:r>
        <w:t xml:space="preserve">The core responsibility of the Accountant involves processing and validating sales data from all German subsidiaries. In Frankfurt, this is particularly complex due to Germany's stringent financial reporting laws. Our internal audit revealed that the Accountant team reduced invoice discrepancies by 37% quarter-over-quarter through meticulous reconciliation of sales transactions against SAP ERP systems. This directly impacts</w:t>
      </w:r>
      <w:r>
        <w:t xml:space="preserve"> </w:t>
      </w:r>
      <w:r>
        <w:rPr>
          <w:bCs/>
          <w:b/>
        </w:rPr>
        <w:t xml:space="preserve">Sales Report</w:t>
      </w:r>
      <w:r>
        <w:t xml:space="preserve"> </w:t>
      </w:r>
      <w:r>
        <w:t xml:space="preserve">integrity—accurate sales data is non-negotiable for strategic decisions in</w:t>
      </w:r>
      <w:r>
        <w:t xml:space="preserve"> </w:t>
      </w:r>
      <w:r>
        <w:rPr>
          <w:bCs/>
          <w:b/>
        </w:rPr>
        <w:t xml:space="preserve">Germany Frankfurt</w:t>
      </w:r>
      <w:r>
        <w:t xml:space="preserve">. For instance, the Accountant identified a recurring error in VAT classification (UStG § 13) affecting 15% of client invoices. Correcting this prevented potential €280,000 in regulatory penalties and ensured seamless integration with Frankfurt's tax authorities.</w:t>
      </w:r>
    </w:p>
    <w:p>
      <w:pPr>
        <w:pStyle w:val="BodyText"/>
      </w:pPr>
      <w:r>
        <w:t xml:space="preserve">Furthermore, the Accountant supports sales teams by generating real-time commission reports. In Q3, they processed over 12,450 commission calculations for our Frankfurt-based sales force with zero errors. This precision directly boosts morale and retention—sales representatives report a 22% increase in satisfaction scores since implementing the Accountant’s automated dashboard. The</w:t>
      </w:r>
      <w:r>
        <w:t xml:space="preserve"> </w:t>
      </w:r>
      <w:r>
        <w:rPr>
          <w:bCs/>
          <w:b/>
        </w:rPr>
        <w:t xml:space="preserve">Sales Report</w:t>
      </w:r>
      <w:r>
        <w:t xml:space="preserve"> </w:t>
      </w:r>
      <w:r>
        <w:t xml:space="preserve">generated weekly by the Accountant now serves as the primary tool for sales managers to track KPIs, replacing error-prone manual spreadsheets.</w:t>
      </w:r>
    </w:p>
    <w:bookmarkEnd w:id="21"/>
    <w:bookmarkStart w:id="22" w:name="Xed83471e1d62a99c87a35552423b9c1ac543202"/>
    <w:p>
      <w:pPr>
        <w:pStyle w:val="Heading2"/>
      </w:pPr>
      <w:r>
        <w:t xml:space="preserve">Compliance and Regulatory Expertise: A Frankfurt Imperative</w:t>
      </w:r>
    </w:p>
    <w:p>
      <w:pPr>
        <w:pStyle w:val="FirstParagraph"/>
      </w:pPr>
      <w:r>
        <w:t xml:space="preserve">Operating in</w:t>
      </w:r>
      <w:r>
        <w:t xml:space="preserve"> </w:t>
      </w:r>
      <w:r>
        <w:rPr>
          <w:bCs/>
          <w:b/>
        </w:rPr>
        <w:t xml:space="preserve">Germany Frankfurt</w:t>
      </w:r>
      <w:r>
        <w:t xml:space="preserve"> </w:t>
      </w:r>
      <w:r>
        <w:t xml:space="preserve">means navigating a complex web of financial regulations. The Accountant’s expertise in German tax law (e.g., Umsatzsteuer, Gewerbesteuer) is pivotal. During Q3, they successfully navigated the transition to the new Digital Tax Reporting framework (Digitale Meldeplattform), ensuring all sales reports complied with Finanzamt Frankfurt requirements. This avoided potential fines exceeding €500,000 for non-compliance—a risk our competitor faced in Munich last quarter.</w:t>
      </w:r>
    </w:p>
    <w:p>
      <w:pPr>
        <w:pStyle w:val="BodyText"/>
      </w:pPr>
      <w:r>
        <w:t xml:space="preserve">Additionally, the Accountant managed GDPR implications for customer data within sales analytics. They implemented secure data handling protocols for sales reports containing client PII (Personal Identifiable Information), aligning with Germany’s Federal Data Protection Act (BDSG). This proactive approach protected our Frankfurt operations from reputational damage and legal exposure, reinforcing trust with clients across</w:t>
      </w:r>
      <w:r>
        <w:t xml:space="preserve"> </w:t>
      </w:r>
      <w:r>
        <w:rPr>
          <w:bCs/>
          <w:b/>
        </w:rPr>
        <w:t xml:space="preserve">Germany Frankfurt</w:t>
      </w:r>
      <w:r>
        <w:t xml:space="preserve">.</w:t>
      </w:r>
    </w:p>
    <w:bookmarkEnd w:id="22"/>
    <w:bookmarkStart w:id="23" w:name="Xe710018e73091c9790b53270b60a8ec1c610f3a"/>
    <w:p>
      <w:pPr>
        <w:pStyle w:val="Heading2"/>
      </w:pPr>
      <w:r>
        <w:t xml:space="preserve">Impact on Sales Strategy and Revenue Growth</w:t>
      </w:r>
    </w:p>
    <w:p>
      <w:pPr>
        <w:pStyle w:val="FirstParagraph"/>
      </w:pPr>
      <w:r>
        <w:t xml:space="preserve">The Accountant’s contribution extends beyond compliance to strategic revenue optimization. By analyzing historical sales data in the context of economic trends (e.g., EUR exchange rates, DAX volatility), they provided insights that directly influenced Q4 sales targets. For example, their report highlighted a 18% decline in mid-market client acquisitions during July–August due to supply chain disruptions—a trend masked by aggregate numbers. This prompted the sales team to pivot toward high-margin enterprise clients in Frankfurt, resulting in a 12% revenue uplift.</w:t>
      </w:r>
    </w:p>
    <w:p>
      <w:pPr>
        <w:pStyle w:val="BodyText"/>
      </w:pPr>
      <w:r>
        <w:t xml:space="preserve">Moreover, the Accountant’s quarterly</w:t>
      </w:r>
      <w:r>
        <w:t xml:space="preserve"> </w:t>
      </w:r>
      <w:r>
        <w:rPr>
          <w:bCs/>
          <w:b/>
        </w:rPr>
        <w:t xml:space="preserve">Sales Report</w:t>
      </w:r>
      <w:r>
        <w:t xml:space="preserve"> </w:t>
      </w:r>
      <w:r>
        <w:t xml:space="preserve">includes a "Profitability Heatmap" identifying high-value customer segments. In Frankfurt alone, this analysis uncovered that 35% of sales revenue came from clients generating negative net margins due to inefficient pricing. The sales strategy was adjusted accordingly, improving Frankfurt region profitability by 29% in Q3. This demonstrates how the Accountant’s work transforms raw data into actionable business intelligence for</w:t>
      </w:r>
      <w:r>
        <w:t xml:space="preserve"> </w:t>
      </w:r>
      <w:r>
        <w:rPr>
          <w:bCs/>
          <w:b/>
        </w:rPr>
        <w:t xml:space="preserve">Germany Frankfurt</w:t>
      </w:r>
      <w:r>
        <w:t xml:space="preserve">.</w:t>
      </w:r>
    </w:p>
    <w:bookmarkEnd w:id="23"/>
    <w:bookmarkStart w:id="24" w:name="X83ce7c95928f04421363b8230deb3fa5f9a0910"/>
    <w:p>
      <w:pPr>
        <w:pStyle w:val="Heading2"/>
      </w:pPr>
      <w:r>
        <w:t xml:space="preserve">Challenges and Future Opportunities in Frankfurt</w:t>
      </w:r>
    </w:p>
    <w:p>
      <w:pPr>
        <w:pStyle w:val="FirstParagraph"/>
      </w:pPr>
      <w:r>
        <w:t xml:space="preserve">Despite successes, challenges persist within the</w:t>
      </w:r>
      <w:r>
        <w:t xml:space="preserve"> </w:t>
      </w:r>
      <w:r>
        <w:rPr>
          <w:bCs/>
          <w:b/>
        </w:rPr>
        <w:t xml:space="preserve">Germany Frankfurt</w:t>
      </w:r>
      <w:r>
        <w:t xml:space="preserve"> </w:t>
      </w:r>
      <w:r>
        <w:t xml:space="preserve">landscape. The Accountant team identified a 15% increase in sales reporting latency due to outdated legacy systems (e.g., legacy billing software). They recommended migrating to an integrated SAP S/4HANA solution—estimated to cut report generation time by 60%. This initiative is prioritized for Q1 2024, as Frankfurt’s finance cluster increasingly demands real-time analytics.</w:t>
      </w:r>
    </w:p>
    <w:p>
      <w:pPr>
        <w:pStyle w:val="BodyText"/>
      </w:pPr>
      <w:r>
        <w:t xml:space="preserve">Another key opportunity lies in cross-border sales within the EU. The Accountant is developing a new template for the</w:t>
      </w:r>
      <w:r>
        <w:t xml:space="preserve"> </w:t>
      </w:r>
      <w:r>
        <w:rPr>
          <w:bCs/>
          <w:b/>
        </w:rPr>
        <w:t xml:space="preserve">Sales Report</w:t>
      </w:r>
      <w:r>
        <w:t xml:space="preserve"> </w:t>
      </w:r>
      <w:r>
        <w:t xml:space="preserve">to standardize VAT reporting across all German subsidiaries. This will streamline compliance for sales teams targeting Austria and Switzerland from our Frankfurt base—a critical move as Germany’s market share in Central Europe grows.</w:t>
      </w:r>
    </w:p>
    <w:bookmarkEnd w:id="24"/>
    <w:bookmarkStart w:id="25" w:name="X02de85057c6483c8a86f3f3e5e675e07056dea9"/>
    <w:p>
      <w:pPr>
        <w:pStyle w:val="Heading2"/>
      </w:pPr>
      <w:r>
        <w:t xml:space="preserve">Conclusion: The Accountant as Strategic Asset in Frankfurt</w:t>
      </w:r>
    </w:p>
    <w:p>
      <w:pPr>
        <w:pStyle w:val="FirstParagraph"/>
      </w:pPr>
      <w:r>
        <w:t xml:space="preserve">This</w:t>
      </w:r>
      <w:r>
        <w:t xml:space="preserve"> </w:t>
      </w:r>
      <w:r>
        <w:rPr>
          <w:bCs/>
          <w:b/>
        </w:rPr>
        <w:t xml:space="preserve">Sales Report</w:t>
      </w:r>
      <w:r>
        <w:t xml:space="preserve"> </w:t>
      </w:r>
      <w:r>
        <w:t xml:space="preserve">unequivocally confirms that the Accountant function is not merely a back-office role but a strategic pillar for sales success in</w:t>
      </w:r>
      <w:r>
        <w:t xml:space="preserve"> </w:t>
      </w:r>
      <w:r>
        <w:rPr>
          <w:bCs/>
          <w:b/>
        </w:rPr>
        <w:t xml:space="preserve">Germany Frankfurt</w:t>
      </w:r>
      <w:r>
        <w:t xml:space="preserve">. Their work ensures regulatory integrity, drives revenue optimization, and empowers sales teams with data-led confidence. The 37% reduction in invoice errors alone translates to €1.8M annual savings, while enhanced forecasting directly contributed to our Q3 revenue target achievement (102% of plan).</w:t>
      </w:r>
    </w:p>
    <w:p>
      <w:pPr>
        <w:pStyle w:val="BodyText"/>
      </w:pPr>
      <w:r>
        <w:t xml:space="preserve">Looking ahead, we recommend embedding the Accountant into all pre-sales strategy meetings in Frankfurt. This integration will further align financial insights with sales objectives, reinforcing our position as a leader in Germany’s finance ecosystem. As the Frankfurt market evolves—particularly amid rising energy costs and geopolitical uncertainty—the Accountant’s role will become even more vital to sustaining our competitive advantage across</w:t>
      </w:r>
      <w:r>
        <w:t xml:space="preserve"> </w:t>
      </w:r>
      <w:r>
        <w:rPr>
          <w:bCs/>
          <w:b/>
        </w:rPr>
        <w:t xml:space="preserve">Germany</w:t>
      </w:r>
      <w:r>
        <w:t xml:space="preserve">. Investing in their tools and training (e.g., German tax certification programs) is not optional; it is fundamental to our future performance.</w:t>
      </w:r>
    </w:p>
    <w:p>
      <w:pPr>
        <w:pStyle w:val="BodyText"/>
      </w:pPr>
      <w:r>
        <w:rPr>
          <w:iCs/>
          <w:i/>
        </w:rPr>
        <w:t xml:space="preserve">Prepared by: Finance &amp; Sales Strategy Department, Frankfurt | Verified Against German GAAP (HGB) and International Standards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Analysis - Frankfurt Germany</dc:title>
  <dc:creator/>
  <dc:language>en</dc:language>
  <cp:keywords/>
  <dcterms:created xsi:type="dcterms:W3CDTF">2026-07-23T09:48:12Z</dcterms:created>
  <dcterms:modified xsi:type="dcterms:W3CDTF">2026-07-23T09:48:12Z</dcterms:modified>
</cp:coreProperties>
</file>

<file path=docProps/custom.xml><?xml version="1.0" encoding="utf-8"?>
<Properties xmlns="http://schemas.openxmlformats.org/officeDocument/2006/custom-properties" xmlns:vt="http://schemas.openxmlformats.org/officeDocument/2006/docPropsVTypes"/>
</file>