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Munich</w:t>
      </w:r>
      <w:r>
        <w:t xml:space="preserve"> </w:t>
      </w:r>
      <w:r>
        <w:t xml:space="preserve">Accountant's</w:t>
      </w:r>
      <w:r>
        <w:t xml:space="preserve"> </w:t>
      </w:r>
      <w:r>
        <w:t xml:space="preserve">Quarterly</w:t>
      </w:r>
      <w:r>
        <w:t xml:space="preserve"> </w:t>
      </w:r>
      <w:r>
        <w:t xml:space="preserve">Sales</w:t>
      </w:r>
      <w:r>
        <w:t xml:space="preserve"> </w:t>
      </w:r>
      <w:r>
        <w:t xml:space="preserve">Report</w:t>
      </w:r>
      <w:r>
        <w:t xml:space="preserve"> </w:t>
      </w:r>
      <w:r>
        <w:t xml:space="preserve">|</w:t>
      </w:r>
      <w:r>
        <w:t xml:space="preserve"> </w:t>
      </w:r>
      <w:r>
        <w:t xml:space="preserve">Germany</w:t>
      </w:r>
    </w:p>
    <w:bookmarkStart w:id="28" w:name="X8f28f691eb99e5c686e61bc2f8fa99c14f551ce"/>
    <w:p>
      <w:pPr>
        <w:pStyle w:val="Heading1"/>
      </w:pPr>
      <w:r>
        <w:t xml:space="preserve">Quarterly Sales Performance Analysis: Comprehensive Report by Munich-Based Accountant</w:t>
      </w:r>
    </w:p>
    <w:p>
      <w:pPr>
        <w:pStyle w:val="FirstParagraph"/>
      </w:pPr>
      <w:r>
        <w:rPr>
          <w:bCs/>
          <w:b/>
        </w:rPr>
        <w:t xml:space="preserve">Prepared For:</w:t>
      </w:r>
      <w:r>
        <w:t xml:space="preserve"> </w:t>
      </w:r>
      <w:r>
        <w:t xml:space="preserve">Executive Leadership &amp; Stakeholders</w:t>
      </w:r>
      <w:r>
        <w:br/>
      </w:r>
      <w:r>
        <w:rPr>
          <w:bCs/>
          <w:b/>
        </w:rPr>
        <w:t xml:space="preserve">Prepared By:</w:t>
      </w:r>
      <w:r>
        <w:t xml:space="preserve"> </w:t>
      </w:r>
      <w:r>
        <w:t xml:space="preserve">Anna Weber, Senior Accountant (Munich Tax Advisory Services)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Munich, Germany (Headquarters: Gasteig Cultural Centre, Munich)</w:t>
      </w:r>
    </w:p>
    <w:bookmarkStart w:id="20" w:name="executive-summary"/>
    <w:p>
      <w:pPr>
        <w:pStyle w:val="Heading2"/>
      </w:pPr>
      <w:r>
        <w:t xml:space="preserve">Executive Summary</w:t>
      </w:r>
    </w:p>
    <w:p>
      <w:pPr>
        <w:pStyle w:val="FirstParagraph"/>
      </w:pPr>
      <w:r>
        <w:t xml:space="preserve">This Sales Report presents a detailed analysis of revenue streams and financial performance for our client portfolio across the German market, with particular emphasis on the Munich metropolitan region. As the designated Accountant responsible for overseeing fiscal compliance and strategic financial insights for over 45 Munich-based enterprises, I have conducted an exhaustive review of sales data in alignment with German Commercial Code (HGB) and Umsatzsteuer (VAT) regulations. The Q3 2023 performance demonstrates a robust 12.7% year-over-year increase in consolidated sales, driven by strong demand in Munich's high-tech sector and strategic expansion into Bavarian industrial markets. This report underscores the critical role of precise accounting practices in driving informed sales decisions within Germany’s competitive landscape.</w:t>
      </w:r>
    </w:p>
    <w:bookmarkEnd w:id="20"/>
    <w:bookmarkStart w:id="21" w:name="key-sales-performance-indicators-q3-2023"/>
    <w:p>
      <w:pPr>
        <w:pStyle w:val="Heading2"/>
      </w:pPr>
      <w:r>
        <w:t xml:space="preserve">Key Sales Performance Indicators (Q3 2023)</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(EUR)</w:t>
      </w:r>
    </w:p>
    <w:p>
      <w:pPr>
        <w:pStyle w:val="BodyText"/>
      </w:pPr>
      <w:r>
        <w:t xml:space="preserve">€14.8M</w:t>
      </w:r>
    </w:p>
    <w:p>
      <w:pPr>
        <w:pStyle w:val="BodyText"/>
      </w:pPr>
      <w:r>
        <w:t xml:space="preserve">€13.6M</w:t>
      </w:r>
    </w:p>
    <w:p>
      <w:pPr>
        <w:pStyle w:val="BodyText"/>
      </w:pPr>
      <w:r>
        <w:t xml:space="preserve">+12.7%</w:t>
      </w:r>
    </w:p>
    <w:p>
      <w:pPr>
        <w:pStyle w:val="BodyText"/>
      </w:pPr>
      <w:r>
        <w:t xml:space="preserve">Munich Regional Sales Share</w:t>
      </w:r>
    </w:p>
    <w:p>
      <w:pPr>
        <w:pStyle w:val="BodyText"/>
      </w:pPr>
      <w:r>
        <w:t xml:space="preserve">58%</w:t>
      </w:r>
    </w:p>
    <w:p>
      <w:pPr>
        <w:pStyle w:val="BodyText"/>
      </w:pPr>
      <w:r>
        <w:t xml:space="preserve">54%</w:t>
      </w:r>
    </w:p>
    <w:p>
      <w:pPr>
        <w:pStyle w:val="BodyText"/>
      </w:pPr>
      <w:r>
        <w:t xml:space="preserve">+4pp</w:t>
      </w:r>
    </w:p>
    <w:p>
      <w:pPr>
        <w:pStyle w:val="BodyText"/>
      </w:pPr>
      <w:r>
        <w:t xml:space="preserve">Gross Profit Margin</w:t>
      </w:r>
    </w:p>
    <w:p>
      <w:pPr>
        <w:pStyle w:val="BodyText"/>
      </w:pPr>
      <w:r>
        <w:t xml:space="preserve">39.2%</w:t>
      </w:r>
    </w:p>
    <w:p>
      <w:pPr>
        <w:pStyle w:val="BodyText"/>
      </w:pPr>
      <w:r>
        <w:t xml:space="preserve">37.8%</w:t>
      </w:r>
    </w:p>
    <w:p>
      <w:pPr>
        <w:pStyle w:val="BodyText"/>
      </w:pPr>
      <w:r>
        <w:t xml:space="preserve">+1.4pp</w:t>
      </w:r>
    </w:p>
    <w:p>
      <w:pPr>
        <w:pStyle w:val="BodyText"/>
      </w:pPr>
      <w:r>
        <w:t xml:space="preserve">VAT Compliance Rate (UStG)</w:t>
      </w:r>
    </w:p>
    <w:p>
      <w:pPr>
        <w:pStyle w:val="BodyText"/>
      </w:pPr>
      <w:r>
        <w:t xml:space="preserve">100%</w:t>
      </w:r>
    </w:p>
    <w:p>
      <w:pPr>
        <w:pStyle w:val="BodyText"/>
      </w:pPr>
      <w:r>
        <w:t xml:space="preserve">98%</w:t>
      </w:r>
    </w:p>
    <w:p>
      <w:pPr>
        <w:pStyle w:val="BodyText"/>
      </w:pPr>
      <w:r>
        <w:t xml:space="preserve">+2pp</w:t>
      </w:r>
    </w:p>
    <w:bookmarkEnd w:id="21"/>
    <w:bookmarkStart w:id="22" w:name="Xe56b717c7fc8c634cb179dc990695f520c78d75"/>
    <w:p>
      <w:pPr>
        <w:pStyle w:val="Heading2"/>
      </w:pPr>
      <w:r>
        <w:t xml:space="preserve">Regional Analysis: Munich's Dominant Market Position</w:t>
      </w:r>
    </w:p>
    <w:p>
      <w:pPr>
        <w:pStyle w:val="FirstParagraph"/>
      </w:pPr>
      <w:r>
        <w:t xml:space="preserve">Munich continues to be the financial engine of our operations, contributing 58% of total Q3 revenue – up from 54% in Q2. This growth reflects strategic initiatives by the Accountant team to enhance sales alignment with Munich’s economic ecosystem. Key drivers include:</w:t>
      </w:r>
    </w:p>
    <w:p>
      <w:pPr>
        <w:numPr>
          <w:ilvl w:val="0"/>
          <w:numId w:val="1001"/>
        </w:numPr>
        <w:pStyle w:val="Compact"/>
      </w:pPr>
      <w:r>
        <w:rPr>
          <w:bCs/>
          <w:b/>
        </w:rPr>
        <w:t xml:space="preserve">Industrial Partnerships:</w:t>
      </w:r>
      <w:r>
        <w:t xml:space="preserve"> </w:t>
      </w:r>
      <w:r>
        <w:t xml:space="preserve">23 new contracts secured with Bavarian manufacturing firms (e.g., Siemens Mobility, BMW Group suppliers), representing €3.2M in Q3 sales.</w:t>
      </w:r>
    </w:p>
    <w:p>
      <w:pPr>
        <w:numPr>
          <w:ilvl w:val="0"/>
          <w:numId w:val="1001"/>
        </w:numPr>
        <w:pStyle w:val="Compact"/>
      </w:pPr>
      <w:r>
        <w:rPr>
          <w:bCs/>
          <w:b/>
        </w:rPr>
        <w:t xml:space="preserve">Tech Sector Expansion:</w:t>
      </w:r>
      <w:r>
        <w:t xml:space="preserve"> </w:t>
      </w:r>
      <w:r>
        <w:t xml:space="preserve">40% of Munich-based SaaS clients increased subscription volumes, contributing €1.8M to total revenue.</w:t>
      </w:r>
    </w:p>
    <w:p>
      <w:pPr>
        <w:numPr>
          <w:ilvl w:val="0"/>
          <w:numId w:val="1001"/>
        </w:numPr>
        <w:pStyle w:val="Compact"/>
      </w:pPr>
      <w:r>
        <w:rPr>
          <w:bCs/>
          <w:b/>
        </w:rPr>
        <w:t xml:space="preserve">Compliance-Driven Sales:</w:t>
      </w:r>
      <w:r>
        <w:t xml:space="preserve"> </w:t>
      </w:r>
      <w:r>
        <w:t xml:space="preserve">As Accountant, I implemented targeted VAT optimization strategies that directly boosted client sales conversion by 8.3% in the Munich market.</w:t>
      </w:r>
    </w:p>
    <w:bookmarkEnd w:id="22"/>
    <w:bookmarkStart w:id="23" w:name="X0b3c458b5556aa80f1976cc7cf2014bfba6f14d"/>
    <w:p>
      <w:pPr>
        <w:pStyle w:val="Heading2"/>
      </w:pPr>
      <w:r>
        <w:t xml:space="preserve">Accountant's Role in Sales Performance Optimization</w:t>
      </w:r>
    </w:p>
    <w:p>
      <w:pPr>
        <w:pStyle w:val="FirstParagraph"/>
      </w:pPr>
      <w:r>
        <w:t xml:space="preserve">This Sales Report highlights how proactive accounting functions directly influence revenue growth. As the lead Accountant for Germany-based clients, my department implemented three critical initiatives:</w:t>
      </w:r>
    </w:p>
    <w:p>
      <w:pPr>
        <w:numPr>
          <w:ilvl w:val="0"/>
          <w:numId w:val="1002"/>
        </w:numPr>
        <w:pStyle w:val="Compact"/>
      </w:pPr>
      <w:r>
        <w:rPr>
          <w:bCs/>
          <w:b/>
        </w:rPr>
        <w:t xml:space="preserve">Real-Time Financial Dashboards:</w:t>
      </w:r>
      <w:r>
        <w:t xml:space="preserve"> </w:t>
      </w:r>
      <w:r>
        <w:t xml:space="preserve">Integrated SAP systems with sales data to provide executives with live visibility into revenue trends. This reduced sales forecasting errors by 31% in Munich operations.</w:t>
      </w:r>
    </w:p>
    <w:p>
      <w:pPr>
        <w:numPr>
          <w:ilvl w:val="0"/>
          <w:numId w:val="1002"/>
        </w:numPr>
        <w:pStyle w:val="Compact"/>
      </w:pPr>
      <w:r>
        <w:rPr>
          <w:bCs/>
          <w:b/>
        </w:rPr>
        <w:t xml:space="preserve">German Tax Compliance Integration:</w:t>
      </w:r>
      <w:r>
        <w:t xml:space="preserve"> </w:t>
      </w:r>
      <w:r>
        <w:t xml:space="preserve">Automated UStG (Umsatzsteuer Gesetz) reporting ensured 100% compliance during Q3, preventing potential €247K in penalties that could have impacted sales margins.</w:t>
      </w:r>
    </w:p>
    <w:p>
      <w:pPr>
        <w:numPr>
          <w:ilvl w:val="0"/>
          <w:numId w:val="1002"/>
        </w:numPr>
        <w:pStyle w:val="Compact"/>
      </w:pPr>
      <w:r>
        <w:rPr>
          <w:bCs/>
          <w:b/>
        </w:rPr>
        <w:t xml:space="preserve">Pricing Strategy Alignment:</w:t>
      </w:r>
      <w:r>
        <w:t xml:space="preserve"> </w:t>
      </w:r>
      <w:r>
        <w:t xml:space="preserve">Collaborated with sales teams to adjust product bundles based on seasonal tax implications (e.g., reduced VAT-eligible items for Q3 holiday season), driving a 6.2% uplift in average transaction value.</w:t>
      </w:r>
    </w:p>
    <w:bookmarkEnd w:id="23"/>
    <w:bookmarkStart w:id="24" w:name="X70af67ab7f22fce8a0a4d4af96ce46ac59f0a19"/>
    <w:p>
      <w:pPr>
        <w:pStyle w:val="Heading2"/>
      </w:pPr>
      <w:r>
        <w:t xml:space="preserve">Compliance &amp; Regulatory Context: Germany Munich Standards</w:t>
      </w:r>
    </w:p>
    <w:p>
      <w:pPr>
        <w:pStyle w:val="FirstParagraph"/>
      </w:pPr>
      <w:r>
        <w:t xml:space="preserve">All sales figures included in this Sales Report adhere strictly to German accounting standards (HGB, IFRS) and comply with Munich’s local economic regulations. Key compliance milestones achieved during Q3:</w:t>
      </w:r>
    </w:p>
    <w:p>
      <w:pPr>
        <w:numPr>
          <w:ilvl w:val="0"/>
          <w:numId w:val="1003"/>
        </w:numPr>
        <w:pStyle w:val="Compact"/>
      </w:pPr>
      <w:r>
        <w:t xml:space="preserve">Completed mandatory quarterly tax filings for all 45 Munich clients through the Finanzamt München office.</w:t>
      </w:r>
    </w:p>
    <w:p>
      <w:pPr>
        <w:numPr>
          <w:ilvl w:val="0"/>
          <w:numId w:val="1003"/>
        </w:numPr>
        <w:pStyle w:val="Compact"/>
      </w:pPr>
      <w:r>
        <w:t xml:space="preserve">Implemented revised EU VAT MOSS rules affecting cross-border sales, resulting in zero non-compliance incidents for our portfolio.</w:t>
      </w:r>
    </w:p>
    <w:p>
      <w:pPr>
        <w:numPr>
          <w:ilvl w:val="0"/>
          <w:numId w:val="1003"/>
        </w:numPr>
        <w:pStyle w:val="Compact"/>
      </w:pPr>
      <w:r>
        <w:t xml:space="preserve">Conducted internal audits aligned with German Commercial Code §263, confirming 100% accuracy in revenue recognition processes – critical for maintaining trust with Munich-based investors.</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two challenges require immediate attention as Accountant:</w:t>
      </w:r>
    </w:p>
    <w:p>
      <w:pPr>
        <w:numPr>
          <w:ilvl w:val="0"/>
          <w:numId w:val="1004"/>
        </w:numPr>
        <w:pStyle w:val="Compact"/>
      </w:pPr>
      <w:r>
        <w:rPr>
          <w:bCs/>
          <w:b/>
        </w:rPr>
        <w:t xml:space="preserve">Supply Chain Costs:</w:t>
      </w:r>
      <w:r>
        <w:t xml:space="preserve"> </w:t>
      </w:r>
      <w:r>
        <w:t xml:space="preserve">Rising raw material costs (17% YoY) pressured margins. Recommendation: Implement dynamic pricing models with sales teams to offset costs without losing Munich market share.</w:t>
      </w:r>
    </w:p>
    <w:p>
      <w:pPr>
        <w:numPr>
          <w:ilvl w:val="0"/>
          <w:numId w:val="1004"/>
        </w:numPr>
        <w:pStyle w:val="Compact"/>
      </w:pPr>
      <w:r>
        <w:rPr>
          <w:bCs/>
          <w:b/>
        </w:rPr>
        <w:t xml:space="preserve">Talent Retention in Munich:</w:t>
      </w:r>
      <w:r>
        <w:t xml:space="preserve"> </w:t>
      </w:r>
      <w:r>
        <w:t xml:space="preserve">High competition for accounting talent in Germany’s largest city threatens our operational capacity. Recommendation: Increase local recruitment budget by 15% to secure certified German Accountants (Steuerberater) by Q1 2024.</w:t>
      </w:r>
    </w:p>
    <w:p>
      <w:pPr>
        <w:pStyle w:val="FirstParagraph"/>
      </w:pPr>
      <w:r>
        <w:t xml:space="preserve">As the Accountant managing sales finance for Munich's economic hub, I recommend prioritizing these actions to sustain our 12.7% growth trajectory while maintaining Germany’s rigorous financial compliance standards.</w:t>
      </w:r>
    </w:p>
    <w:bookmarkEnd w:id="25"/>
    <w:bookmarkStart w:id="26" w:name="q4-2023-outlook-growth-targets"/>
    <w:p>
      <w:pPr>
        <w:pStyle w:val="Heading2"/>
      </w:pPr>
      <w:r>
        <w:t xml:space="preserve">Q4 2023 Outlook: Growth Targets</w:t>
      </w:r>
    </w:p>
    <w:p>
      <w:pPr>
        <w:pStyle w:val="FirstParagraph"/>
      </w:pPr>
      <w:r>
        <w:t xml:space="preserve">Based on current sales momentum and Munich’s robust economic indicators (Munich's GDP grew 3.8% in Q3, exceeding national average), I project:</w:t>
      </w:r>
    </w:p>
    <w:p>
      <w:pPr>
        <w:numPr>
          <w:ilvl w:val="0"/>
          <w:numId w:val="1005"/>
        </w:numPr>
        <w:pStyle w:val="Compact"/>
      </w:pPr>
      <w:r>
        <w:rPr>
          <w:bCs/>
          <w:b/>
        </w:rPr>
        <w:t xml:space="preserve">Revenue Target:</w:t>
      </w:r>
      <w:r>
        <w:t xml:space="preserve"> </w:t>
      </w:r>
      <w:r>
        <w:t xml:space="preserve">€16.2M (+9.4% over Q3)</w:t>
      </w:r>
    </w:p>
    <w:p>
      <w:pPr>
        <w:numPr>
          <w:ilvl w:val="0"/>
          <w:numId w:val="1005"/>
        </w:numPr>
        <w:pStyle w:val="Compact"/>
      </w:pPr>
      <w:r>
        <w:rPr>
          <w:bCs/>
          <w:b/>
        </w:rPr>
        <w:t xml:space="preserve">Munich Market Share Goal:</w:t>
      </w:r>
      <w:r>
        <w:t xml:space="preserve"> </w:t>
      </w:r>
      <w:r>
        <w:t xml:space="preserve">60%</w:t>
      </w:r>
    </w:p>
    <w:p>
      <w:pPr>
        <w:numPr>
          <w:ilvl w:val="0"/>
          <w:numId w:val="1005"/>
        </w:numPr>
        <w:pStyle w:val="Compact"/>
      </w:pPr>
      <w:r>
        <w:rPr>
          <w:bCs/>
          <w:b/>
        </w:rPr>
        <w:t xml:space="preserve">VAT Efficiency Target:</w:t>
      </w:r>
      <w:r>
        <w:t xml:space="preserve"> </w:t>
      </w:r>
      <w:r>
        <w:t xml:space="preserve">Maintain 100% compliance rate</w:t>
      </w:r>
    </w:p>
    <w:bookmarkEnd w:id="26"/>
    <w:bookmarkStart w:id="27" w:name="Xf5d9752d30cf07b7ce00a6cd1a559e13a9d9fae"/>
    <w:p>
      <w:pPr>
        <w:pStyle w:val="Heading2"/>
      </w:pPr>
      <w:r>
        <w:t xml:space="preserve">Conclusion: The Accountant as Strategic Sales Partner</w:t>
      </w:r>
    </w:p>
    <w:p>
      <w:pPr>
        <w:pStyle w:val="FirstParagraph"/>
      </w:pPr>
      <w:r>
        <w:t xml:space="preserve">This Sales Report conclusively demonstrates that the Accountant is no longer a back-office function but a strategic growth driver in Germany’s business ecosystem. In Munich—a city renowned for its precision, innovation, and fiscal discipline—accounting excellence directly fuels sales success. The 12.7% revenue increase this quarter was not accidental; it resulted from rigorous financial oversight by our Accountant team, strict adherence to German tax law (UStG), and data-driven collaboration with sales leadership in Munich.</w:t>
      </w:r>
    </w:p>
    <w:p>
      <w:pPr>
        <w:pStyle w:val="BodyText"/>
      </w:pPr>
      <w:r>
        <w:t xml:space="preserve">As the Accountant responsible for Germany’s premier market hub, I remain committed to leveraging accounting insights to optimize every sales opportunity. Our next quarterly report will include deeper analysis of Munich-specific economic indicators, including Bayerische Bank data and local business sentiment metrics. This commitment ensures our Sales Report remains a vital instrument for sustainable growth in Germany’s most dynamic commercial environment.</w:t>
      </w:r>
    </w:p>
    <w:p>
      <w:pPr>
        <w:pStyle w:val="BodyText"/>
      </w:pPr>
      <w:r>
        <w:rPr>
          <w:iCs/>
          <w:i/>
        </w:rPr>
        <w:t xml:space="preserve">Prepared with full compliance to German Commercial Code (HGB), Umsatzsteuer Gesetz (UStG), and all Munich tax regulations. All financial data verified through certified accounting systems used by leading German enterprises.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Munich Accountant's Quarterly Sales Report | Germany</dc:title>
  <dc:creator/>
  <dc:language>en</dc:language>
  <cp:keywords/>
  <dcterms:created xsi:type="dcterms:W3CDTF">2026-07-20T22:44:33Z</dcterms:created>
  <dcterms:modified xsi:type="dcterms:W3CDTF">2026-07-20T22:44:33Z</dcterms:modified>
</cp:coreProperties>
</file>

<file path=docProps/custom.xml><?xml version="1.0" encoding="utf-8"?>
<Properties xmlns="http://schemas.openxmlformats.org/officeDocument/2006/custom-properties" xmlns:vt="http://schemas.openxmlformats.org/officeDocument/2006/docPropsVTypes"/>
</file>