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(India</w:t>
      </w:r>
      <w:r>
        <w:t xml:space="preserve"> </w:t>
      </w:r>
      <w:r>
        <w:t xml:space="preserve">New</w:t>
      </w:r>
      <w:r>
        <w:t xml:space="preserve"> </w:t>
      </w:r>
      <w:r>
        <w:t xml:space="preserve">Delhi)</w:t>
      </w:r>
    </w:p>
    <w:bookmarkStart w:id="31" w:name="X665d0a0c1eec208a79896a9a926610115005e62"/>
    <w:p>
      <w:pPr>
        <w:pStyle w:val="Heading1"/>
      </w:pPr>
      <w:r>
        <w:t xml:space="preserve">Quarterly Sales Performance Report: Accountant Analysis for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Finance &amp; Accounting Department, Delhi Office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presents a detailed financial analysis of our sales performance across India, with focused insights on the New Delhi market. As Accountant overseeing the finance operations for our North India division, I have meticulously analyzed transaction data, compliance metrics, and regional KPIs to deliver actionable intelligence. The quarter concluded with ₹42.7 Crores in total sales (a 12% YoY increase), driven significantly by New Delhi's robust performance contributing 38% of national revenue. This report underscores the critical role of accurate financial reporting in strategic decision-making for our India operations.</w:t>
      </w:r>
    </w:p>
    <w:bookmarkEnd w:id="20"/>
    <w:bookmarkStart w:id="22" w:name="ii.-sales-performance-overview"/>
    <w:p>
      <w:pPr>
        <w:pStyle w:val="Heading2"/>
      </w:pPr>
      <w:r>
        <w:t xml:space="preserve">II. Sales Performance Overview</w:t>
      </w:r>
    </w:p>
    <w:p>
      <w:pPr>
        <w:pStyle w:val="FirstParagraph"/>
      </w:pPr>
      <w:r>
        <w:t xml:space="preserve">The Q3 sales results demonstrate strong market penetration in India's premier economic hub, New Delhi. Our total revenue reached ₹42.7 Crores (vs ₹38.1 Crores in Q3 2022), with New Delhi generating ₹16.2 Crores – marking a 15% growth from the previous year's performance in this key metropolitan zone. The Accountant's role was pivotal in reconciling these figures against GST filings, ensuring 98.7% compliance with India's tax regulations during reporting.</w:t>
      </w:r>
    </w:p>
    <w:bookmarkStart w:id="21" w:name="key-regional-highlights-new-delhi-focus"/>
    <w:p>
      <w:pPr>
        <w:pStyle w:val="Heading3"/>
      </w:pPr>
      <w:r>
        <w:t xml:space="preserve">Key Regional Highlights (New Delhi Focus):</w:t>
      </w:r>
    </w:p>
    <w:p>
      <w:pPr>
        <w:numPr>
          <w:ilvl w:val="0"/>
          <w:numId w:val="1001"/>
        </w:numPr>
        <w:pStyle w:val="Compact"/>
      </w:pPr>
      <w:r>
        <w:rPr>
          <w:bCs/>
          <w:b/>
        </w:rPr>
        <w:t xml:space="preserve">Commercial Sector:</w:t>
      </w:r>
      <w:r>
        <w:t xml:space="preserve"> </w:t>
      </w:r>
      <w:r>
        <w:t xml:space="preserve">Accounted for 52% of New Delhi revenue through B2B contracts with corporate clients in Connaught Place and Gurgaon.</w:t>
      </w:r>
    </w:p>
    <w:p>
      <w:pPr>
        <w:numPr>
          <w:ilvl w:val="0"/>
          <w:numId w:val="1001"/>
        </w:numPr>
        <w:pStyle w:val="Compact"/>
      </w:pPr>
      <w:r>
        <w:rPr>
          <w:bCs/>
          <w:b/>
        </w:rPr>
        <w:t xml:space="preserve">SME Growth:</w:t>
      </w:r>
      <w:r>
        <w:t xml:space="preserve"> </w:t>
      </w:r>
      <w:r>
        <w:t xml:space="preserve">18% increase in small business sales, driven by new GST-compliant invoicing solutions adopted by Delhi-based startups.</w:t>
      </w:r>
    </w:p>
    <w:p>
      <w:pPr>
        <w:numPr>
          <w:ilvl w:val="0"/>
          <w:numId w:val="1001"/>
        </w:numPr>
        <w:pStyle w:val="Compact"/>
      </w:pPr>
      <w:r>
        <w:rPr>
          <w:bCs/>
          <w:b/>
        </w:rPr>
        <w:t xml:space="preserve">Seasonal Impact:</w:t>
      </w:r>
      <w:r>
        <w:t xml:space="preserve"> </w:t>
      </w:r>
      <w:r>
        <w:t xml:space="preserve">Diwali season (September) boosted sales by 22% compared to August, requiring precise tax provisioning handled by our Accountant team.</w:t>
      </w:r>
    </w:p>
    <w:bookmarkEnd w:id="21"/>
    <w:bookmarkEnd w:id="22"/>
    <w:bookmarkStart w:id="26" w:name="X3302b8e9a075b70918cf5a13ec433cb982ab910"/>
    <w:p>
      <w:pPr>
        <w:pStyle w:val="Heading2"/>
      </w:pPr>
      <w:r>
        <w:t xml:space="preserve">III. Critical Analysis: Accountant-Driven Financial Insights</w:t>
      </w:r>
    </w:p>
    <w:p>
      <w:pPr>
        <w:pStyle w:val="FirstParagraph"/>
      </w:pPr>
      <w:r>
        <w:t xml:space="preserve">Beyond basic revenue tracking, this Sales Report incorporates forensic-level financial analysis mandated for India's complex regulatory environment. As the designated Accountant for Delhi operations, I implemented these critical enhancements:</w:t>
      </w:r>
    </w:p>
    <w:bookmarkStart w:id="23" w:name="a-gst-compliance-integration"/>
    <w:p>
      <w:pPr>
        <w:pStyle w:val="Heading3"/>
      </w:pPr>
      <w:r>
        <w:t xml:space="preserve">A) GST Compliance Integration</w:t>
      </w:r>
    </w:p>
    <w:p>
      <w:pPr>
        <w:pStyle w:val="FirstParagraph"/>
      </w:pPr>
      <w:r>
        <w:t xml:space="preserve">Every sales transaction was cross-referenced with Form GSTR-3B filings. Our New Delhi branch achieved 100% on-time GST submissions – a 7-point improvement over Q2. This prevented ₹85 Lakhs in potential late-payment penalties, directly benefiting the bottom line.</w:t>
      </w:r>
    </w:p>
    <w:bookmarkEnd w:id="23"/>
    <w:bookmarkStart w:id="24" w:name="b-regional-margin-analysis"/>
    <w:p>
      <w:pPr>
        <w:pStyle w:val="Heading3"/>
      </w:pPr>
      <w:r>
        <w:t xml:space="preserve">B) Regional Margin Analysis</w:t>
      </w:r>
    </w:p>
    <w:p>
      <w:pPr>
        <w:pStyle w:val="FirstParagraph"/>
      </w:pPr>
      <w:r>
        <w:t xml:space="preserve">Unlike standard sales reports, our Accountant team calculated margin by location using IFRS-compliant methods. New Delhi's product mix (72% high-margin software solutions vs. 58% in national average) contributed to a 24.3% gross margin – significantly above the corporate benchmark of 19%. This insight directly influenced our regional sales strategy.</w:t>
      </w:r>
    </w:p>
    <w:bookmarkEnd w:id="24"/>
    <w:bookmarkStart w:id="25" w:name="c-tax-optimization-impact"/>
    <w:p>
      <w:pPr>
        <w:pStyle w:val="Heading3"/>
      </w:pPr>
      <w:r>
        <w:t xml:space="preserve">C) Tax Optimization Impact</w:t>
      </w:r>
    </w:p>
    <w:p>
      <w:pPr>
        <w:pStyle w:val="FirstParagraph"/>
      </w:pPr>
      <w:r>
        <w:t xml:space="preserve">Through careful analysis of HSN codes and CENVAT credit utilization, the Accountant department identified ₹2.1 Crores in potential tax savings. These were implemented for New Delhi clients through revised invoicing structures compliant with India's Central Goods &amp; Services Tax Act.</w:t>
      </w:r>
    </w:p>
    <w:bookmarkEnd w:id="25"/>
    <w:bookmarkEnd w:id="26"/>
    <w:bookmarkStart w:id="27" w:name="X4242eb5e24bd44c98049ac30b8ae1d24b26e872"/>
    <w:p>
      <w:pPr>
        <w:pStyle w:val="Heading2"/>
      </w:pPr>
      <w:r>
        <w:t xml:space="preserve">IV. New Delhi Market: Unique Dynamics &amp; Opportunities</w:t>
      </w:r>
    </w:p>
    <w:p>
      <w:pPr>
        <w:pStyle w:val="FirstParagraph"/>
      </w:pPr>
      <w:r>
        <w:t xml:space="preserve">The India New Delhi market presents distinct advantages and challenges requiring specialized accounting expertise:</w:t>
      </w:r>
    </w:p>
    <w:p>
      <w:pPr>
        <w:numPr>
          <w:ilvl w:val="0"/>
          <w:numId w:val="1002"/>
        </w:numPr>
        <w:pStyle w:val="Compact"/>
      </w:pPr>
      <w:r>
        <w:rPr>
          <w:bCs/>
          <w:b/>
        </w:rPr>
        <w:t xml:space="preserve">Infrastructure Advantage:</w:t>
      </w:r>
      <w:r>
        <w:t xml:space="preserve"> </w:t>
      </w:r>
      <w:r>
        <w:t xml:space="preserve">Proximity to government offices (CBEC, Income Tax Department) facilitated faster tax dispute resolution – a key benefit our Accountant leveraged for client service.</w:t>
      </w:r>
    </w:p>
    <w:p>
      <w:pPr>
        <w:numPr>
          <w:ilvl w:val="0"/>
          <w:numId w:val="1002"/>
        </w:numPr>
        <w:pStyle w:val="Compact"/>
      </w:pPr>
      <w:r>
        <w:rPr>
          <w:bCs/>
          <w:b/>
        </w:rPr>
        <w:t xml:space="preserve">Regulatory Complexity:</w:t>
      </w:r>
      <w:r>
        <w:t xml:space="preserve"> </w:t>
      </w:r>
      <w:r>
        <w:t xml:space="preserve">New Delhi's high concentration of MNCs necessitated 30% more complex GST filings than other Indian regions. Our Accountant team reduced processing time by 40% through automated reconciliation tools.</w:t>
      </w:r>
    </w:p>
    <w:p>
      <w:pPr>
        <w:numPr>
          <w:ilvl w:val="0"/>
          <w:numId w:val="1002"/>
        </w:numPr>
        <w:pStyle w:val="Compact"/>
      </w:pPr>
      <w:r>
        <w:rPr>
          <w:bCs/>
          <w:b/>
        </w:rPr>
        <w:t xml:space="preserve">Client Expectations:</w:t>
      </w:r>
      <w:r>
        <w:t xml:space="preserve"> </w:t>
      </w:r>
      <w:r>
        <w:t xml:space="preserve">Delhi-based enterprises demand real-time financial transparency. Our customized Sales Report dashboards, generated weekly by the Accountant team, became a competitive differentiator.</w:t>
      </w:r>
    </w:p>
    <w:bookmarkEnd w:id="27"/>
    <w:bookmarkStart w:id="28" w:name="X36616df66c9091ed3a21b615a9ddfb9648fc374"/>
    <w:p>
      <w:pPr>
        <w:pStyle w:val="Heading2"/>
      </w:pPr>
      <w:r>
        <w:t xml:space="preserve">V. Challenges Identified (Accountant Perspective)</w:t>
      </w:r>
    </w:p>
    <w:p>
      <w:pPr>
        <w:pStyle w:val="FirstParagraph"/>
      </w:pPr>
      <w:r>
        <w:t xml:space="preserve">As we analyze sales data through an Accountant's lens in India's evolving regulatory landscape, three critical challenges emerged:</w:t>
      </w:r>
    </w:p>
    <w:p>
      <w:pPr>
        <w:numPr>
          <w:ilvl w:val="0"/>
          <w:numId w:val="1003"/>
        </w:numPr>
        <w:pStyle w:val="Compact"/>
      </w:pPr>
      <w:r>
        <w:rPr>
          <w:bCs/>
          <w:b/>
        </w:rPr>
        <w:t xml:space="preserve">Udyam Registration Compliance:</w:t>
      </w:r>
      <w:r>
        <w:t xml:space="preserve"> </w:t>
      </w:r>
      <w:r>
        <w:t xml:space="preserve">18% of Delhi SME clients lacked Udyam registration, creating GST filing risks. The Accountant department initiated mandatory compliance workshops for these clients.</w:t>
      </w:r>
    </w:p>
    <w:p>
      <w:pPr>
        <w:numPr>
          <w:ilvl w:val="0"/>
          <w:numId w:val="1003"/>
        </w:numPr>
        <w:pStyle w:val="Compact"/>
      </w:pPr>
      <w:r>
        <w:rPr>
          <w:bCs/>
          <w:b/>
        </w:rPr>
        <w:t xml:space="preserve">Multi-State Taxation:</w:t>
      </w:r>
      <w:r>
        <w:t xml:space="preserve"> </w:t>
      </w:r>
      <w:r>
        <w:t xml:space="preserve">Sales involving New Delhi customers with pan-India operations required complex tax apportionment. Our Accountant team developed a new costing model reducing errors by 65%.</w:t>
      </w:r>
    </w:p>
    <w:bookmarkEnd w:id="28"/>
    <w:bookmarkStart w:id="29" w:name="vi.-strategic-recommendations"/>
    <w:p>
      <w:pPr>
        <w:pStyle w:val="Heading2"/>
      </w:pPr>
      <w:r>
        <w:t xml:space="preserve">VI. Strategic Recommendations</w:t>
      </w:r>
    </w:p>
    <w:p>
      <w:pPr>
        <w:pStyle w:val="FirstParagraph"/>
      </w:pPr>
      <w:r>
        <w:t xml:space="preserve">Based on this comprehensive Sales Report, the Accountant department proposes:</w:t>
      </w:r>
    </w:p>
    <w:p>
      <w:pPr>
        <w:numPr>
          <w:ilvl w:val="0"/>
          <w:numId w:val="1004"/>
        </w:numPr>
        <w:pStyle w:val="Compact"/>
      </w:pPr>
      <w:r>
        <w:rPr>
          <w:bCs/>
          <w:b/>
        </w:rPr>
        <w:t xml:space="preserve">Delhi-Specific Tax Training:</w:t>
      </w:r>
      <w:r>
        <w:t xml:space="preserve"> </w:t>
      </w:r>
      <w:r>
        <w:t xml:space="preserve">Mandatory GST certification for all sales personnel servicing New Delhi clients by Q1 2024 to prevent compliance issues.</w:t>
      </w:r>
    </w:p>
    <w:p>
      <w:pPr>
        <w:numPr>
          <w:ilvl w:val="0"/>
          <w:numId w:val="1004"/>
        </w:numPr>
        <w:pStyle w:val="Compact"/>
      </w:pPr>
      <w:r>
        <w:rPr>
          <w:bCs/>
          <w:b/>
        </w:rPr>
        <w:t xml:space="preserve">Dynamic Margin Dashboard:</w:t>
      </w:r>
      <w:r>
        <w:t xml:space="preserve"> </w:t>
      </w:r>
      <w:r>
        <w:t xml:space="preserve">Implement real-time profit visualization tool (already piloted in New Delhi) showing how product mix affects margins, accessible to all sales managers.</w:t>
      </w:r>
    </w:p>
    <w:p>
      <w:pPr>
        <w:numPr>
          <w:ilvl w:val="0"/>
          <w:numId w:val="1004"/>
        </w:numPr>
        <w:pStyle w:val="Compact"/>
      </w:pPr>
      <w:r>
        <w:rPr>
          <w:bCs/>
          <w:b/>
        </w:rPr>
        <w:t xml:space="preserve">Government Tenders Focus:</w:t>
      </w:r>
      <w:r>
        <w:t xml:space="preserve"> </w:t>
      </w:r>
      <w:r>
        <w:t xml:space="preserve">Leverage Delhi's concentration of government contracts. The Accountant identified 27% of total sales from govt. tenders – a market to expand through specialized GST-compliant bidding packages.</w:t>
      </w:r>
    </w:p>
    <w:bookmarkEnd w:id="29"/>
    <w:bookmarkStart w:id="30" w:name="X2cb7a1ba28132b7ddcff68dd09720e416943e64"/>
    <w:p>
      <w:pPr>
        <w:pStyle w:val="Heading2"/>
      </w:pPr>
      <w:r>
        <w:t xml:space="preserve">VII. Conclusion: The Accountant's Value in India New Delhi</w:t>
      </w:r>
    </w:p>
    <w:p>
      <w:pPr>
        <w:pStyle w:val="FirstParagraph"/>
      </w:pPr>
      <w:r>
        <w:t xml:space="preserve">This Sales Report transcends routine financial documentation – it demonstrates how the Accountant role is indispensable to India's business success, particularly in the high-stakes New Delhi market. By transforming raw sales data into regulatory-compliant, strategic insights, our Accountant team has directly contributed to:</w:t>
      </w:r>
    </w:p>
    <w:p>
      <w:pPr>
        <w:numPr>
          <w:ilvl w:val="0"/>
          <w:numId w:val="1005"/>
        </w:numPr>
        <w:pStyle w:val="Compact"/>
      </w:pPr>
      <w:r>
        <w:t xml:space="preserve">₹1.9 Crores in avoided tax penalties</w:t>
      </w:r>
    </w:p>
    <w:p>
      <w:pPr>
        <w:numPr>
          <w:ilvl w:val="0"/>
          <w:numId w:val="1005"/>
        </w:numPr>
        <w:pStyle w:val="Compact"/>
      </w:pPr>
      <w:r>
        <w:t xml:space="preserve">23% faster client onboarding through streamlined documentation</w:t>
      </w:r>
    </w:p>
    <w:p>
      <w:pPr>
        <w:numPr>
          <w:ilvl w:val="0"/>
          <w:numId w:val="1005"/>
        </w:numPr>
        <w:pStyle w:val="Compact"/>
      </w:pPr>
      <w:r>
        <w:t xml:space="preserve">Increased New Delhi sales conversion rates (from 41% to 56%) via data-driven pricing strategies</w:t>
      </w:r>
    </w:p>
    <w:p>
      <w:pPr>
        <w:pStyle w:val="FirstParagraph"/>
      </w:pPr>
      <w:r>
        <w:t xml:space="preserve">In India's dynamic business ecosystem, where compliance is as crucial as revenue generation, the Accountant isn't just a number-cruncher – they're the guardian of our legal standing and growth engine. For New Delhi operations specifically, this Sales Report proves that investing in accounting excellence yields measurable market advantages. As we navigate India's evolving tax landscape (including upcoming e-invoicing mandates), our commitment to precision financial reporting will remain central to sustainable expansion.</w:t>
      </w:r>
    </w:p>
    <w:p>
      <w:pPr>
        <w:pStyle w:val="BodyText"/>
      </w:pPr>
      <w:r>
        <w:rPr>
          <w:bCs/>
          <w:b/>
        </w:rPr>
        <w:t xml:space="preserve">Prepared By:</w:t>
      </w:r>
      <w:r>
        <w:t xml:space="preserve"> </w:t>
      </w:r>
      <w:r>
        <w:t xml:space="preserve">Priya Sharma, Senior Accountant (GST &amp; Compliance)</w:t>
      </w:r>
      <w:r>
        <w:br/>
      </w:r>
      <w:r>
        <w:rPr>
          <w:bCs/>
          <w:b/>
        </w:rPr>
        <w:t xml:space="preserve">Delhi Finance Department | [Company Name]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Accountant Analysis (India New Delhi)</dc:title>
  <dc:creator/>
  <dc:language>en</dc:language>
  <cp:keywords/>
  <dcterms:created xsi:type="dcterms:W3CDTF">2026-07-23T22:19:53Z</dcterms:created>
  <dcterms:modified xsi:type="dcterms:W3CDTF">2026-07-23T22:19:53Z</dcterms:modified>
</cp:coreProperties>
</file>

<file path=docProps/custom.xml><?xml version="1.0" encoding="utf-8"?>
<Properties xmlns="http://schemas.openxmlformats.org/officeDocument/2006/custom-properties" xmlns:vt="http://schemas.openxmlformats.org/officeDocument/2006/docPropsVTypes"/>
</file>