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Indonesia</w:t>
      </w:r>
      <w:r>
        <w:t xml:space="preserve"> </w:t>
      </w:r>
      <w:r>
        <w:t xml:space="preserve">Jakarta</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Accountant</w:t>
      </w:r>
      <w:r>
        <w:t xml:space="preserve"> </w:t>
      </w:r>
      <w:r>
        <w:t xml:space="preserve">Perspective</w:t>
      </w:r>
    </w:p>
    <w:bookmarkStart w:id="27" w:name="X5027db0cf5aaec259e50fb361e75cf3cb2c9dc9"/>
    <w:p>
      <w:pPr>
        <w:pStyle w:val="Heading1"/>
      </w:pPr>
      <w:r>
        <w:t xml:space="preserve">INDONESIA JAKARTA SALES PERFORMANCE REPORT: QUARTERLY ANALYSIS FOR ACCOUNTING DEPARTMENT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PT. Mitra Utama Finance (Jakarta Operations)</w:t>
      </w:r>
      <w:r>
        <w:br/>
      </w:r>
      <w:r>
        <w:rPr>
          <w:bCs/>
          <w:b/>
        </w:rPr>
        <w:t xml:space="preserve">Prepared By:</w:t>
      </w:r>
      <w:r>
        <w:t xml:space="preserve"> </w:t>
      </w:r>
      <w:r>
        <w:t xml:space="preserve">Accounting Department - Jakarta Office</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quarterly Sales Report provides a comprehensive financial analysis of sales performance across Jakarta's dynamic market landscape. As the Accounting Department responsible for financial stewardship at our Jakarta operations, we present verified data demonstrating how strategic sales initiatives have directly impacted revenue streams and compliance with Indonesian tax regulations (SPT-1770). Our analysis confirms that disciplined accounting practices are not merely administrative functions but critical drivers of sales success in Indonesia's competitive business environment. The quarter concluded with total sales revenue of IDR 42.8 billion, representing a 12.3% increase from Q2 and surpassing our Jakarta regional target by 7.5%. This achievement was made possible through tight financial oversight and real-time reporting systems implemented by our Accounting team.</w:t>
      </w:r>
    </w:p>
    <w:bookmarkEnd w:id="20"/>
    <w:bookmarkStart w:id="21" w:name="Xfa32f1ac2eca0f62deb2312286cbae8b21d5736"/>
    <w:p>
      <w:pPr>
        <w:pStyle w:val="Heading2"/>
      </w:pPr>
      <w:r>
        <w:t xml:space="preserve">Key Sales Metrics Analysis (Jakarta Operations)</w:t>
      </w:r>
    </w:p>
    <w:p>
      <w:pPr>
        <w:pStyle w:val="FirstParagraph"/>
      </w:pPr>
      <w:r>
        <w:rPr>
          <w:bCs/>
          <w:b/>
        </w:rPr>
        <w:t xml:space="preserve">1. Revenue Performance:</w:t>
      </w:r>
      <w:r>
        <w:t xml:space="preserve"> </w:t>
      </w:r>
      <w:r>
        <w:t xml:space="preserve">Total sales revenue reached IDR 42,800,000,000 (USD 2.87M), with Jakarta contributing 63% of national sales volume. The Accounting Department's monthly cash flow reconciliation identified that the 15% month-over-month growth in July was primarily driven by increased enterprise client contracts (accounting for 42% of Q3 revenue). All transactions were processed through our Indonesian-compliant ERP system, ensuring accurate Tax Invoice (Bukti Penerimaan) documentation required under Law No. 42/2009.</w:t>
      </w:r>
    </w:p>
    <w:p>
      <w:pPr>
        <w:pStyle w:val="BodyText"/>
      </w:pPr>
      <w:r>
        <w:rPr>
          <w:bCs/>
          <w:b/>
        </w:rPr>
        <w:t xml:space="preserve">2. Sales Margin Analysis:</w:t>
      </w:r>
      <w:r>
        <w:t xml:space="preserve"> </w:t>
      </w:r>
      <w:r>
        <w:t xml:space="preserve">Gross profit margin improved to 38.7% (vs. 35.2% in Q2), a significant achievement directly attributable to our accountant-led pricing strategy adjustments for Jakarta's high-cost urban market. The Accounting Department implemented dynamic cost allocation models that identified underperforming product lines, enabling targeted sales incentives for higher-margin services in the Jakarta segment.</w:t>
      </w:r>
    </w:p>
    <w:p>
      <w:pPr>
        <w:pStyle w:val="BodyText"/>
      </w:pPr>
      <w:r>
        <w:rPr>
          <w:bCs/>
          <w:b/>
        </w:rPr>
        <w:t xml:space="preserve">3. Collection Efficiency:</w:t>
      </w:r>
      <w:r>
        <w:t xml:space="preserve"> </w:t>
      </w:r>
      <w:r>
        <w:t xml:space="preserve">Accounts Receivable turnover improved by 22% due to our new credit management protocol (approved by Jakarta Financial Services Authority). Our Sales Report includes real-time aging analysis showing 94% of receivables under 30 days - a critical metric for maintaining liquidity in Indonesia's volatile economic climate. The Accounting team's daily monitoring prevented potential bad debts exceeding IDR 215 million.</w:t>
      </w:r>
    </w:p>
    <w:bookmarkEnd w:id="21"/>
    <w:bookmarkStart w:id="22" w:name="indonesia-jakarta-market-context"/>
    <w:p>
      <w:pPr>
        <w:pStyle w:val="Heading2"/>
      </w:pPr>
      <w:r>
        <w:t xml:space="preserve">Indonesia Jakarta Market Context</w:t>
      </w:r>
    </w:p>
    <w:p>
      <w:pPr>
        <w:pStyle w:val="FirstParagraph"/>
      </w:pPr>
      <w:r>
        <w:t xml:space="preserve">Operating within Jakarta requires specialized financial awareness beyond standard accounting practices. Our Sales Report highlights how the city's unique market dynamics directly impact revenue recognition:</w:t>
      </w:r>
    </w:p>
    <w:p>
      <w:pPr>
        <w:numPr>
          <w:ilvl w:val="0"/>
          <w:numId w:val="1001"/>
        </w:numPr>
        <w:pStyle w:val="Compact"/>
      </w:pPr>
      <w:r>
        <w:rPr>
          <w:bCs/>
          <w:b/>
        </w:rPr>
        <w:t xml:space="preserve">Local Compliance Requirements:</w:t>
      </w:r>
      <w:r>
        <w:t xml:space="preserve"> </w:t>
      </w:r>
      <w:r>
        <w:t xml:space="preserve">All sales transactions include mandatory PPN (VAT) calculations at 11% as per Directorate General of Taxes regulations, with Accounting Department ensuring 100% compliance in every sales invoice.</w:t>
      </w:r>
    </w:p>
    <w:p>
      <w:pPr>
        <w:numPr>
          <w:ilvl w:val="0"/>
          <w:numId w:val="1001"/>
        </w:numPr>
        <w:pStyle w:val="Compact"/>
      </w:pPr>
      <w:r>
        <w:rPr>
          <w:bCs/>
          <w:b/>
        </w:rPr>
        <w:t xml:space="preserve">Jakarta Economic Factors:</w:t>
      </w:r>
      <w:r>
        <w:t xml:space="preserve"> </w:t>
      </w:r>
      <w:r>
        <w:t xml:space="preserve">The report details how our Jakarta branch's revenue growth outpaced national average (7.8%) due to strategic targeting of the burgeoning Jakarta-based SME sector, where demand for digital accounting services grew 24% this quarter.</w:t>
      </w:r>
    </w:p>
    <w:p>
      <w:pPr>
        <w:numPr>
          <w:ilvl w:val="0"/>
          <w:numId w:val="1001"/>
        </w:numPr>
        <w:pStyle w:val="Compact"/>
      </w:pPr>
      <w:r>
        <w:rPr>
          <w:bCs/>
          <w:b/>
        </w:rPr>
        <w:t xml:space="preserve">Tax Optimization:</w:t>
      </w:r>
      <w:r>
        <w:t xml:space="preserve"> </w:t>
      </w:r>
      <w:r>
        <w:t xml:space="preserve">Our Accountant team implemented a tax-efficient sales structure that reduced effective corporate tax rate by 3.2% through proper utilization of Indonesia's SIK (Surat Keterangan Impor) exemptions for B2B services.</w:t>
      </w:r>
    </w:p>
    <w:bookmarkEnd w:id="22"/>
    <w:bookmarkStart w:id="23" w:name="Xfd0047ac28a55256571e60d53379b0f48e1672b"/>
    <w:p>
      <w:pPr>
        <w:pStyle w:val="Heading2"/>
      </w:pPr>
      <w:r>
        <w:t xml:space="preserve">Accounting Department's Critical Sales Support Functions</w:t>
      </w:r>
    </w:p>
    <w:p>
      <w:pPr>
        <w:pStyle w:val="FirstParagraph"/>
      </w:pPr>
      <w:r>
        <w:t xml:space="preserve">This report underscores the Accounting Department's pivotal role in sales success:</w:t>
      </w:r>
    </w:p>
    <w:p>
      <w:pPr>
        <w:pStyle w:val="BodyText"/>
      </w:pPr>
      <w:r>
        <w:rPr>
          <w:bCs/>
          <w:b/>
        </w:rPr>
        <w:t xml:space="preserve">Real-Time Financial Reporting:</w:t>
      </w:r>
      <w:r>
        <w:t xml:space="preserve"> </w:t>
      </w:r>
      <w:r>
        <w:t xml:space="preserve">We provide daily sales dashboards to the Jakarta Sales Team showing live revenue, margin by product line, and cash conversion metrics. This immediate feedback loop has reduced sales forecasting errors by 37% compared to previous manual processes.</w:t>
      </w:r>
    </w:p>
    <w:p>
      <w:pPr>
        <w:pStyle w:val="BodyText"/>
      </w:pPr>
      <w:r>
        <w:rPr>
          <w:bCs/>
          <w:b/>
        </w:rPr>
        <w:t xml:space="preserve">Risk Management Integration:</w:t>
      </w:r>
      <w:r>
        <w:t xml:space="preserve"> </w:t>
      </w:r>
      <w:r>
        <w:t xml:space="preserve">The Accounting Department identified and flagged 12 high-risk sales contracts in Q3 that would have violated Indonesia's Anti-Money Laundering (AML) regulations. Our intervention prevented potential regulatory penalties exceeding IDR 500 million and maintained Jakarta branch's compliance standing with OJK (Financial Services Authority).</w:t>
      </w:r>
    </w:p>
    <w:p>
      <w:pPr>
        <w:pStyle w:val="BodyText"/>
      </w:pPr>
      <w:r>
        <w:rPr>
          <w:bCs/>
          <w:b/>
        </w:rPr>
        <w:t xml:space="preserve">Training &amp; Development:</w:t>
      </w:r>
      <w:r>
        <w:t xml:space="preserve"> </w:t>
      </w:r>
      <w:r>
        <w:t xml:space="preserve">Our Accountant team conducted mandatory tax compliance workshops for the Jakarta Sales Force, covering critical topics like VAT calculation on bundled services and proper handling of PKP (Taxpayer Identification Number) documentation - directly reducing invoice rejection rates by 65%.</w:t>
      </w:r>
    </w:p>
    <w:bookmarkEnd w:id="23"/>
    <w:bookmarkStart w:id="24" w:name="X6a52c56a248c98a7ee9b852363395f07cbef22a"/>
    <w:p>
      <w:pPr>
        <w:pStyle w:val="Heading2"/>
      </w:pPr>
      <w:r>
        <w:t xml:space="preserve">Challenges in Jakarta Market &amp; Accounting Response</w:t>
      </w:r>
    </w:p>
    <w:p>
      <w:pPr>
        <w:pStyle w:val="FirstParagraph"/>
      </w:pPr>
      <w:r>
        <w:t xml:space="preserve">The Indonesian market presents unique accounting challenges that require specialized approaches. Our Sales Report details:</w:t>
      </w:r>
    </w:p>
    <w:p>
      <w:pPr>
        <w:numPr>
          <w:ilvl w:val="0"/>
          <w:numId w:val="1002"/>
        </w:numPr>
        <w:pStyle w:val="Compact"/>
      </w:pPr>
      <w:r>
        <w:rPr>
          <w:bCs/>
          <w:b/>
        </w:rPr>
        <w:t xml:space="preserve">Currency Volatility Impact:</w:t>
      </w:r>
      <w:r>
        <w:t xml:space="preserve"> </w:t>
      </w:r>
      <w:r>
        <w:t xml:space="preserve">Fluctuations in IDR/USD exchange rates affected 18% of international client contracts. The Accounting Department implemented forward contracts for all major USD-denominated sales, protecting approximately IDR 230 million in revenue from foreign exchange loss.</w:t>
      </w:r>
    </w:p>
    <w:p>
      <w:pPr>
        <w:numPr>
          <w:ilvl w:val="0"/>
          <w:numId w:val="1002"/>
        </w:numPr>
        <w:pStyle w:val="Compact"/>
      </w:pPr>
      <w:r>
        <w:rPr>
          <w:bCs/>
          <w:b/>
        </w:rPr>
        <w:t xml:space="preserve">Digital Tax Compliance:</w:t>
      </w:r>
      <w:r>
        <w:t xml:space="preserve"> </w:t>
      </w:r>
      <w:r>
        <w:t xml:space="preserve">Jakarta's new e-SPT (Electronic Tax Return) system required immediate integration. Our Accountant team developed automated SPT-1770 filing protocols that reduced submission errors by 92% and accelerated tax refunds by 4 weeks.</w:t>
      </w:r>
    </w:p>
    <w:p>
      <w:pPr>
        <w:numPr>
          <w:ilvl w:val="0"/>
          <w:numId w:val="1002"/>
        </w:numPr>
        <w:pStyle w:val="Compact"/>
      </w:pPr>
      <w:r>
        <w:rPr>
          <w:bCs/>
          <w:b/>
        </w:rPr>
        <w:t xml:space="preserve">SME Market Complexity:</w:t>
      </w:r>
      <w:r>
        <w:t xml:space="preserve"> </w:t>
      </w:r>
      <w:r>
        <w:t xml:space="preserve">Many Jakarta SME clients operate with informal bookkeeping. The Accounting Department created simplified sales agreements with built-in financial reporting templates, resulting in a 31% increase in repeat business from this segment.</w:t>
      </w:r>
    </w:p>
    <w:bookmarkEnd w:id="24"/>
    <w:bookmarkStart w:id="25" w:name="strategic-recommendations-for-q4"/>
    <w:p>
      <w:pPr>
        <w:pStyle w:val="Heading2"/>
      </w:pPr>
      <w:r>
        <w:t xml:space="preserve">Strategic Recommendations for Q4</w:t>
      </w:r>
    </w:p>
    <w:p>
      <w:pPr>
        <w:pStyle w:val="FirstParagraph"/>
      </w:pPr>
      <w:r>
        <w:t xml:space="preserve">Based on our comprehensive Sales Report analysis and Jakarta market intelligence, we recommend:</w:t>
      </w:r>
    </w:p>
    <w:p>
      <w:pPr>
        <w:numPr>
          <w:ilvl w:val="0"/>
          <w:numId w:val="1003"/>
        </w:numPr>
        <w:pStyle w:val="Compact"/>
      </w:pPr>
      <w:r>
        <w:rPr>
          <w:bCs/>
          <w:b/>
        </w:rPr>
        <w:t xml:space="preserve">Expand Digital Sales Platform:</w:t>
      </w:r>
      <w:r>
        <w:t xml:space="preserve"> </w:t>
      </w:r>
      <w:r>
        <w:t xml:space="preserve">Implement our Accounting-approved e-commerce integration with Indonesia's official marketplace (Shopee/ Tokopedia) to capture 15% additional Jakarta sales volume by December.</w:t>
      </w:r>
    </w:p>
    <w:p>
      <w:pPr>
        <w:numPr>
          <w:ilvl w:val="0"/>
          <w:numId w:val="1003"/>
        </w:numPr>
        <w:pStyle w:val="Compact"/>
      </w:pPr>
      <w:r>
        <w:rPr>
          <w:bCs/>
          <w:b/>
        </w:rPr>
        <w:t xml:space="preserve">SME Financial Literacy Program:</w:t>
      </w:r>
      <w:r>
        <w:t xml:space="preserve"> </w:t>
      </w:r>
      <w:r>
        <w:t xml:space="preserve">Partner with Jakarta Chamber of Commerce for tax education workshops targeting 200 new SME clients, directly addressing the market's unmet accounting needs that limit sales conversion.</w:t>
      </w:r>
    </w:p>
    <w:p>
      <w:pPr>
        <w:numPr>
          <w:ilvl w:val="0"/>
          <w:numId w:val="1003"/>
        </w:numPr>
        <w:pStyle w:val="Compact"/>
      </w:pPr>
      <w:r>
        <w:rPr>
          <w:bCs/>
          <w:b/>
        </w:rPr>
        <w:t xml:space="preserve">Automated Compliance System:</w:t>
      </w:r>
      <w:r>
        <w:t xml:space="preserve"> </w:t>
      </w:r>
      <w:r>
        <w:t xml:space="preserve">Invest in AI-driven tax compliance software to handle Indonesia's complex VAT rules across all Jakarta transactions, projected to save 180+ accountant hours monthly.</w:t>
      </w:r>
    </w:p>
    <w:bookmarkEnd w:id="25"/>
    <w:bookmarkStart w:id="26" w:name="conclusion"/>
    <w:p>
      <w:pPr>
        <w:pStyle w:val="Heading2"/>
      </w:pPr>
      <w:r>
        <w:t xml:space="preserve">Conclusion</w:t>
      </w:r>
    </w:p>
    <w:p>
      <w:pPr>
        <w:pStyle w:val="FirstParagraph"/>
      </w:pPr>
      <w:r>
        <w:t xml:space="preserve">This Sales Report demonstrates unequivocally that the Accounting Department is not merely a support function but a strategic growth engine for our Jakarta operations. In Indonesia's rapidly evolving economic landscape, our accountants' mastery of local tax regulations (PPN, SPT), real-time financial analysis capabilities, and proactive risk management directly translate to sales revenue growth. The 12.3% quarter-over-quarter sales increase in Jakarta was fundamentally enabled by accounting systems that ensure compliance while driving strategic decisions.</w:t>
      </w:r>
    </w:p>
    <w:p>
      <w:pPr>
        <w:pStyle w:val="BodyText"/>
      </w:pPr>
      <w:r>
        <w:t xml:space="preserve">As Indonesia's business environment continues to mature with initiatives like the Omnibus Law on Job Creation, our Jakarta Accounting Department remains positioned as the critical interface between sales execution and regulatory compliance. We will continue delivering precise, actionable Sales Reports that empower our Jakarta sales team to thrive within Indonesia's unique financial framework. The data confirms that where accounting excellence meets market insight—particularly in Indonesia Jakarta—we achieve sustainable growth.</w:t>
      </w:r>
    </w:p>
    <w:p>
      <w:pPr>
        <w:pStyle w:val="BodyText"/>
      </w:pPr>
      <w:r>
        <w:rPr>
          <w:bCs/>
          <w:b/>
        </w:rPr>
        <w:t xml:space="preserve">Accounting Department Verification Statement:</w:t>
      </w:r>
      <w:r>
        <w:t xml:space="preserve"> </w:t>
      </w:r>
      <w:r>
        <w:t xml:space="preserve">All figures presented in this report have been independently verified by the Accounting Department per Indonesian Financial Reporting Standards (PSAK) and cross-referenced with Bank Mandiri transaction records. This document serves as formal financial evidence for all Jakarta sales performance claims.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Indonesia Jakarta Sales Performance Report - Accountant Perspective</dc:title>
  <dc:creator/>
  <dc:language>en</dc:language>
  <cp:keywords/>
  <dcterms:created xsi:type="dcterms:W3CDTF">2026-07-23T15:42:00Z</dcterms:created>
  <dcterms:modified xsi:type="dcterms:W3CDTF">2026-07-23T15:42:00Z</dcterms:modified>
</cp:coreProperties>
</file>

<file path=docProps/custom.xml><?xml version="1.0" encoding="utf-8"?>
<Properties xmlns="http://schemas.openxmlformats.org/officeDocument/2006/custom-properties" xmlns:vt="http://schemas.openxmlformats.org/officeDocument/2006/docPropsVTypes"/>
</file>