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Italy</w:t>
      </w:r>
      <w:r>
        <w:t xml:space="preserve"> </w:t>
      </w:r>
      <w:r>
        <w:t xml:space="preserve">Milan</w:t>
      </w:r>
      <w:r>
        <w:t xml:space="preserve"> </w:t>
      </w:r>
      <w:r>
        <w:t xml:space="preserve">Sales</w:t>
      </w:r>
      <w:r>
        <w:t xml:space="preserve"> </w:t>
      </w:r>
      <w:r>
        <w:t xml:space="preserve">Performance</w:t>
      </w:r>
      <w:r>
        <w:t xml:space="preserve"> </w:t>
      </w:r>
      <w:r>
        <w:t xml:space="preserve">Report</w:t>
      </w:r>
      <w:r>
        <w:t xml:space="preserve"> </w:t>
      </w:r>
      <w:r>
        <w:t xml:space="preserve">for</w:t>
      </w:r>
      <w:r>
        <w:t xml:space="preserve"> </w:t>
      </w:r>
      <w:r>
        <w:t xml:space="preserve">Accountant</w:t>
      </w:r>
      <w:r>
        <w:t xml:space="preserve"> </w:t>
      </w:r>
      <w:r>
        <w:t xml:space="preserve">Review</w:t>
      </w:r>
    </w:p>
    <w:bookmarkStart w:id="26" w:name="Xe30957b473c2ce84c16d15cc9da139ddd2270b0"/>
    <w:p>
      <w:pPr>
        <w:pStyle w:val="Heading1"/>
      </w:pPr>
      <w:r>
        <w:t xml:space="preserve">Quarterly Sales Performance Report: Financial Analysis &amp; Compliance Insights for Italy Milan Operations</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Finance Leadership, Milan Office</w:t>
      </w:r>
      <w:r>
        <w:br/>
      </w:r>
      <w:r>
        <w:rPr>
          <w:bCs/>
          <w:b/>
        </w:rPr>
        <w:t xml:space="preserve">From:</w:t>
      </w:r>
      <w:r>
        <w:t xml:space="preserve"> </w:t>
      </w:r>
      <w:r>
        <w:t xml:space="preserve">Maria Rossi, Senior Accountant (Italy Milan)</w:t>
      </w:r>
    </w:p>
    <w:bookmarkStart w:id="20" w:name="executive-summary"/>
    <w:p>
      <w:pPr>
        <w:pStyle w:val="Heading2"/>
      </w:pPr>
      <w:r>
        <w:t xml:space="preserve">Executive Summary</w:t>
      </w:r>
    </w:p>
    <w:p>
      <w:pPr>
        <w:pStyle w:val="FirstParagraph"/>
      </w:pPr>
      <w:r>
        <w:t xml:space="preserve">This comprehensive Sales Report details the financial performance of our Milan-based operations for Q3 2023. As the dedicated Accountant managing all financial reporting for Italy Milan, I have analyzed sales data against budgeted targets, VAT compliance requirements under Italian law (D.Lgs 50/1985), and regional market dynamics. Key findings indicate a 9.7% year-over-year increase in</w:t>
      </w:r>
      <w:r>
        <w:t xml:space="preserve"> </w:t>
      </w:r>
      <w:r>
        <w:rPr>
          <w:bCs/>
          <w:b/>
        </w:rPr>
        <w:t xml:space="preserve">Sales Report</w:t>
      </w:r>
      <w:r>
        <w:t xml:space="preserve"> </w:t>
      </w:r>
      <w:r>
        <w:t xml:space="preserve">figures for the Milan territory, driven by strong demand in luxury fashion and B2B industrial sectors. However, VAT reconciliation challenges across Italy Milan’s fragmented supplier network necessitate urgent operational adjustments. This</w:t>
      </w:r>
      <w:r>
        <w:t xml:space="preserve"> </w:t>
      </w:r>
      <w:r>
        <w:rPr>
          <w:bCs/>
          <w:b/>
        </w:rPr>
        <w:t xml:space="preserve">Accountant</w:t>
      </w:r>
      <w:r>
        <w:t xml:space="preserve">-prepared document provides actionable insights for the Milan management team to optimize both revenue streams and regulatory adherence.</w:t>
      </w:r>
    </w:p>
    <w:bookmarkEnd w:id="20"/>
    <w:bookmarkStart w:id="21" w:name="X057a06cba985bfe1916bb1ed73a8d6c1bdc8475"/>
    <w:p>
      <w:pPr>
        <w:pStyle w:val="Heading2"/>
      </w:pPr>
      <w:r>
        <w:t xml:space="preserve">Methodology: Integrating Sales Data with Italian Accounting Standards</w:t>
      </w:r>
    </w:p>
    <w:p>
      <w:pPr>
        <w:pStyle w:val="FirstParagraph"/>
      </w:pPr>
      <w:r>
        <w:t xml:space="preserve">This Sales Report was generated using SAP S/4HANA integrated with Italy’s mandatory electronic invoicing system (Sistema di Interscambio). All data was extracted directly from the Milan regional database, adhering strictly to Italian Generally Accepted Accounting Principles (Principi Contabili Italiani - P.C.I.) and EU Directive 2011/85/EU. As the Accountant responsible for Italy Milan’s financial reporting, I verified 100% of sales transactions against local tax codes (ATECO 47.9), ensuring compliance with the Agenzia delle Entrate’s quarterly filing requirements. The report excludes non-compliant invoices from vendors without valid P.IVA registration—a critical issue affecting 18% of Milan suppliers as identified in Q2.</w:t>
      </w:r>
    </w:p>
    <w:bookmarkEnd w:id="21"/>
    <w:bookmarkStart w:id="22" w:name="Xff883ab058eacc054072c996fab055c9d74e430"/>
    <w:p>
      <w:pPr>
        <w:pStyle w:val="Heading2"/>
      </w:pPr>
      <w:r>
        <w:t xml:space="preserve">Q3 Performance Analysis: Milan-Specific Sales Trends</w:t>
      </w:r>
    </w:p>
    <w:p>
      <w:pPr>
        <w:pStyle w:val="FirstParagraph"/>
      </w:pPr>
      <w:r>
        <w:t xml:space="preserve">Revenue growth in Italy Milan reached €4.8M (vs. €4.37M in Q3 2022), surpassing our budget by 11%. The Sales Report highlights three pivotal drivers:</w:t>
      </w:r>
    </w:p>
    <w:p>
      <w:pPr>
        <w:numPr>
          <w:ilvl w:val="0"/>
          <w:numId w:val="1001"/>
        </w:numPr>
        <w:pStyle w:val="Compact"/>
      </w:pPr>
      <w:r>
        <w:rPr>
          <w:bCs/>
          <w:b/>
        </w:rPr>
        <w:t xml:space="preserve">Luxury Fashion Sector (55% of sales):</w:t>
      </w:r>
      <w:r>
        <w:t xml:space="preserve"> </w:t>
      </w:r>
      <w:r>
        <w:t xml:space="preserve">+14.3% YoY. Milan’s Brera district saw a 22% surge in high-margin handbag and accessories sales, directly tied to the September Milano Fashion Week influx.</w:t>
      </w:r>
    </w:p>
    <w:p>
      <w:pPr>
        <w:numPr>
          <w:ilvl w:val="0"/>
          <w:numId w:val="1001"/>
        </w:numPr>
        <w:pStyle w:val="Compact"/>
      </w:pPr>
      <w:r>
        <w:rPr>
          <w:bCs/>
          <w:b/>
        </w:rPr>
        <w:t xml:space="preserve">B2B Industrial Supplies (30%):</w:t>
      </w:r>
      <w:r>
        <w:t xml:space="preserve"> </w:t>
      </w:r>
      <w:r>
        <w:t xml:space="preserve">+7.1%. Key contracts with automotive suppliers in Porta Nuova district offset regional economic volatility.</w:t>
      </w:r>
    </w:p>
    <w:p>
      <w:pPr>
        <w:numPr>
          <w:ilvl w:val="0"/>
          <w:numId w:val="1001"/>
        </w:numPr>
        <w:pStyle w:val="Compact"/>
      </w:pPr>
      <w:r>
        <w:rPr>
          <w:bCs/>
          <w:b/>
        </w:rPr>
        <w:t xml:space="preserve">Service Revenue (15%):</w:t>
      </w:r>
      <w:r>
        <w:t xml:space="preserve"> </w:t>
      </w:r>
      <w:r>
        <w:t xml:space="preserve">+4.9%. Advisory services for local SMEs rose 33% as Milan businesses sought IVA optimization under Law 104/2023.</w:t>
      </w:r>
    </w:p>
    <w:p>
      <w:pPr>
        <w:pStyle w:val="FirstParagraph"/>
      </w:pPr>
      <w:r>
        <w:t xml:space="preserve">The Accountant’s analysis reveals a critical opportunity: Service revenue growth outpaced product sales, signaling potential for strategic bundling. However, the Sales Report also identifies a €187K variance in tax withholdings due to inconsistent application of IVA 5% rates across Milan suppliers—a violation of Italy's Decree-Law 34/2020 on simplified taxation.</w:t>
      </w:r>
    </w:p>
    <w:bookmarkEnd w:id="22"/>
    <w:bookmarkStart w:id="23" w:name="Xa821512b521ed95c3ef2fd5f34561e6b88a80fa"/>
    <w:p>
      <w:pPr>
        <w:pStyle w:val="Heading2"/>
      </w:pPr>
      <w:r>
        <w:t xml:space="preserve">Compliance Challenges Specific to Italy Milan</w:t>
      </w:r>
    </w:p>
    <w:p>
      <w:pPr>
        <w:pStyle w:val="FirstParagraph"/>
      </w:pPr>
      <w:r>
        <w:t xml:space="preserve">As the designated Accountant for Italy Milan, my review uncovered three systemic compliance gaps requiring immediate attention:</w:t>
      </w:r>
    </w:p>
    <w:p>
      <w:pPr>
        <w:numPr>
          <w:ilvl w:val="0"/>
          <w:numId w:val="1002"/>
        </w:numPr>
        <w:pStyle w:val="Compact"/>
      </w:pPr>
      <w:r>
        <w:rPr>
          <w:bCs/>
          <w:b/>
        </w:rPr>
        <w:t xml:space="preserve">Supplier VAT Verification:</w:t>
      </w:r>
      <w:r>
        <w:t xml:space="preserve"> </w:t>
      </w:r>
      <w:r>
        <w:t xml:space="preserve">41% of Milan suppliers lacked real-time P.IVA validation through the Agenzia delle Entrate portal. This poses a €285K risk in potential tax penalties (Article 73 of T.U. IVA).</w:t>
      </w:r>
    </w:p>
    <w:p>
      <w:pPr>
        <w:numPr>
          <w:ilvl w:val="0"/>
          <w:numId w:val="1002"/>
        </w:numPr>
        <w:pStyle w:val="Compact"/>
      </w:pPr>
      <w:r>
        <w:rPr>
          <w:bCs/>
          <w:b/>
        </w:rPr>
        <w:t xml:space="preserve">Milan-Specific Tax Filings:</w:t>
      </w:r>
      <w:r>
        <w:t xml:space="preserve"> </w:t>
      </w:r>
      <w:r>
        <w:t xml:space="preserve">Monthly VAT returns for Milan required manual adjustments for city-specific surcharges (€43K additional liability noted in Q3).</w:t>
      </w:r>
    </w:p>
    <w:bookmarkEnd w:id="23"/>
    <w:bookmarkStart w:id="24" w:name="Xad387e6fca81058aaa75cc5a3d32f965054e9b2"/>
    <w:p>
      <w:pPr>
        <w:pStyle w:val="Heading2"/>
      </w:pPr>
      <w:r>
        <w:t xml:space="preserve">Strategic Recommendations for Milan Operations</w:t>
      </w:r>
    </w:p>
    <w:p>
      <w:pPr>
        <w:pStyle w:val="FirstParagraph"/>
      </w:pPr>
      <w:r>
        <w:t xml:space="preserve">This Sales Report concludes with five data-driven actions for Italy Milan leadership:</w:t>
      </w:r>
    </w:p>
    <w:p>
      <w:pPr>
        <w:numPr>
          <w:ilvl w:val="0"/>
          <w:numId w:val="1003"/>
        </w:numPr>
        <w:pStyle w:val="Compact"/>
      </w:pPr>
      <w:r>
        <w:rPr>
          <w:bCs/>
          <w:b/>
        </w:rPr>
        <w:t xml:space="preserve">Real-Time VAT Integration:</w:t>
      </w:r>
      <w:r>
        <w:t xml:space="preserve"> </w:t>
      </w:r>
      <w:r>
        <w:t xml:space="preserve">Integrate SAP with the Italian government’s FatturaPA API by Q1 2024 to auto-verify all supplier P.IVA codes. This will prevent €350K+ annual non-compliance costs.</w:t>
      </w:r>
    </w:p>
    <w:p>
      <w:pPr>
        <w:numPr>
          <w:ilvl w:val="0"/>
          <w:numId w:val="1003"/>
        </w:numPr>
        <w:pStyle w:val="Compact"/>
      </w:pPr>
      <w:r>
        <w:rPr>
          <w:bCs/>
          <w:b/>
        </w:rPr>
        <w:t xml:space="preserve">Milan Market Pricing Strategy:</w:t>
      </w:r>
      <w:r>
        <w:t xml:space="preserve"> </w:t>
      </w:r>
      <w:r>
        <w:t xml:space="preserve">Adjust pricing for Milan-based luxury goods to reflect the city’s 1.8% municipal tax (IUC) on high-value transactions, as mandated by Milan City Council Ordinance 67/2021.</w:t>
      </w:r>
    </w:p>
    <w:p>
      <w:pPr>
        <w:numPr>
          <w:ilvl w:val="0"/>
          <w:numId w:val="1003"/>
        </w:numPr>
        <w:pStyle w:val="Compact"/>
      </w:pPr>
      <w:r>
        <w:rPr>
          <w:bCs/>
          <w:b/>
        </w:rPr>
        <w:t xml:space="preserve">Accountant-Driven Sales Training:</w:t>
      </w:r>
      <w:r>
        <w:t xml:space="preserve"> </w:t>
      </w:r>
      <w:r>
        <w:t xml:space="preserve">Conduct quarterly workshops for sales teams on IVA classification (e.g., distinguishing between standard 22% and reduced 5% rates for Milan’s cultural sector) to reduce invoice errors by 40%.</w:t>
      </w:r>
    </w:p>
    <w:p>
      <w:pPr>
        <w:numPr>
          <w:ilvl w:val="0"/>
          <w:numId w:val="1003"/>
        </w:numPr>
        <w:pStyle w:val="Compact"/>
      </w:pPr>
      <w:r>
        <w:rPr>
          <w:bCs/>
          <w:b/>
        </w:rPr>
        <w:t xml:space="preserve">Leverage Milan’s Digital Ecosystem:</w:t>
      </w:r>
      <w:r>
        <w:t xml:space="preserve"> </w:t>
      </w:r>
      <w:r>
        <w:t xml:space="preserve">Utilize the City of Milan’s "Digital Business Hub" portal for streamlined tax filings, reducing processing time by 60% based on Agenzia delle Entrate pilot data.</w:t>
      </w:r>
    </w:p>
    <w:p>
      <w:pPr>
        <w:numPr>
          <w:ilvl w:val="0"/>
          <w:numId w:val="1003"/>
        </w:numPr>
        <w:pStyle w:val="Compact"/>
      </w:pPr>
      <w:r>
        <w:rPr>
          <w:bCs/>
          <w:b/>
        </w:rPr>
        <w:t xml:space="preserve">Sales Report Customization:</w:t>
      </w:r>
      <w:r>
        <w:t xml:space="preserve"> </w:t>
      </w:r>
      <w:r>
        <w:t xml:space="preserve">Develop a dedicated dashboard in Power BI showing real-time Milan sales vs. VAT obligations—critical for the Accountant’s monthly reporting cycle to the Italian parent company.</w:t>
      </w:r>
    </w:p>
    <w:bookmarkEnd w:id="24"/>
    <w:bookmarkStart w:id="25" w:name="Xa04158e2761806e2d7861507abc1634b72e6c19"/>
    <w:p>
      <w:pPr>
        <w:pStyle w:val="Heading2"/>
      </w:pPr>
      <w:r>
        <w:t xml:space="preserve">Conclusion: The Accountant as Strategic Partner in Milan</w:t>
      </w:r>
    </w:p>
    <w:p>
      <w:pPr>
        <w:pStyle w:val="FirstParagraph"/>
      </w:pPr>
      <w:r>
        <w:t xml:space="preserve">This Sales Report demonstrates that while Italy Milan is a high-growth market, financial success hinges on precise compliance. As your lead Accountant, I’ve positioned this document not merely as a performance summary but as a strategic roadmap aligning sales momentum with Italian regulatory demands. The €4.8M Q3 revenue is impressive, yet without resolving the VAT reconciliation gaps identified in this report, Milan’s profitability could erode by 8-10% annually per OECD benchmarks for non-compliant EU operations.</w:t>
      </w:r>
    </w:p>
    <w:p>
      <w:pPr>
        <w:pStyle w:val="BodyText"/>
      </w:pPr>
      <w:r>
        <w:t xml:space="preserve">My recommendation is clear: Invest in digital compliance tools now to secure Milan’s position as Italy’s #1 revenue generator. I am available immediately to discuss implementation of these measures at the Milan office, where we can align our Sales Report analytics with the City’s 2030 Digital Strategy for Business. The future of financial accountability in Italy Milan starts with proactive, accountant-driven insights—not reactive compliance.</w:t>
      </w:r>
    </w:p>
    <w:p>
      <w:pPr>
        <w:pStyle w:val="BodyText"/>
      </w:pPr>
      <w:r>
        <w:rPr>
          <w:iCs/>
          <w:i/>
        </w:rPr>
        <w:t xml:space="preserve">Prepared by: Maria Rossi, Senior Accountant (Italy Milan)</w:t>
      </w:r>
      <w:r>
        <w:br/>
      </w:r>
      <w:r>
        <w:rPr>
          <w:iCs/>
          <w:i/>
        </w:rPr>
        <w:t xml:space="preserve">Certified Member: Associazione Nazionale Dottori Commercialisti (ANDC) - Milan Chapter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Italy Milan Sales Performance Report for Accountant Review</dc:title>
  <dc:creator/>
  <dc:language>en</dc:language>
  <cp:keywords/>
  <dcterms:created xsi:type="dcterms:W3CDTF">2026-07-23T09:50:19Z</dcterms:created>
  <dcterms:modified xsi:type="dcterms:W3CDTF">2026-07-23T09:50:19Z</dcterms:modified>
</cp:coreProperties>
</file>

<file path=docProps/custom.xml><?xml version="1.0" encoding="utf-8"?>
<Properties xmlns="http://schemas.openxmlformats.org/officeDocument/2006/custom-properties" xmlns:vt="http://schemas.openxmlformats.org/officeDocument/2006/docPropsVTypes"/>
</file>