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&amp;</w:t>
      </w:r>
      <w:r>
        <w:t xml:space="preserve"> </w:t>
      </w:r>
      <w:r>
        <w:t xml:space="preserve">Financial</w:t>
      </w:r>
      <w:r>
        <w:t xml:space="preserve"> </w:t>
      </w:r>
      <w:r>
        <w:t xml:space="preserve">Analysis:</w:t>
      </w:r>
      <w:r>
        <w:t xml:space="preserve"> </w:t>
      </w:r>
      <w:r>
        <w:t xml:space="preserve">Kyoto</w:t>
      </w:r>
      <w:r>
        <w:t xml:space="preserve"> </w:t>
      </w:r>
      <w:r>
        <w:t xml:space="preserve">Accountant</w:t>
      </w:r>
      <w:r>
        <w:t xml:space="preserve"> </w:t>
      </w:r>
      <w:r>
        <w:t xml:space="preserve">Perspective</w:t>
      </w:r>
    </w:p>
    <w:bookmarkStart w:id="27" w:name="X17646e8b969deb53d0e54dcc5c94c50a9b1c032"/>
    <w:p>
      <w:pPr>
        <w:pStyle w:val="Heading1"/>
      </w:pPr>
      <w:r>
        <w:t xml:space="preserve">Quarterly Sales Performance Report and Financial Analysis: Insights for Accountants Operating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&amp; Stakeholders</w:t>
      </w:r>
      <w:r>
        <w:br/>
      </w:r>
      <w:r>
        <w:rPr>
          <w:bCs/>
          <w:b/>
        </w:rPr>
        <w:t xml:space="preserve">From:</w:t>
      </w:r>
      <w:r>
        <w:t xml:space="preserve"> </w:t>
      </w:r>
      <w:r>
        <w:t xml:space="preserve">Accounting Department | Certified Public Accountant (Japan), Kyoto Office</w:t>
      </w:r>
      <w:r>
        <w:br/>
      </w:r>
      <w:r>
        <w:rPr>
          <w:bCs/>
          <w:b/>
        </w:rPr>
        <w:t xml:space="preserve">Subject:</w:t>
      </w:r>
      <w:r>
        <w:t xml:space="preserve"> </w:t>
      </w:r>
      <w:r>
        <w:t xml:space="preserve">Comprehensive Sales Report Analysis for Q3 2023 in Japan Kyoto Market</w:t>
      </w:r>
    </w:p>
    <w:bookmarkStart w:id="20" w:name="i.-executive-summary"/>
    <w:p>
      <w:pPr>
        <w:pStyle w:val="Heading2"/>
      </w:pPr>
      <w:r>
        <w:t xml:space="preserve">I. Executive Summary</w:t>
      </w:r>
    </w:p>
    <w:p>
      <w:pPr>
        <w:pStyle w:val="FirstParagraph"/>
      </w:pPr>
      <w:r>
        <w:t xml:space="preserve">This Quarterly Sales Report presents a detailed analysis of sales performance, financial metrics, and market trends specific to businesses operating within Kyoto, Japan. As the lead Accountant responsible for financial reporting across our Kyoto-based client portfolio (including traditional enterprises in Gion and modern tech firms along Shijo Avenue), this report synthesizes critical data to drive strategic decisions. The Q3 2023 period demonstrated a 14.7% YoY sales growth in Kyoto’s service sector, with strong performance in hospitality and cultural tourism—directly impacting our Accountant-led financial planning and tax advisory services. This document underscores the necessity of localized accounting practices within Japan Kyoto's unique economic ecosystem.</w:t>
      </w:r>
    </w:p>
    <w:bookmarkEnd w:id="20"/>
    <w:bookmarkStart w:id="21" w:name="Xb800d395c7868ca45692a2450ad12ceb868eed5"/>
    <w:p>
      <w:pPr>
        <w:pStyle w:val="Heading2"/>
      </w:pPr>
      <w:r>
        <w:t xml:space="preserve">II. Methodology: How Our Accountant Team Processes Sales Data in Kyoto</w:t>
      </w:r>
    </w:p>
    <w:p>
      <w:pPr>
        <w:pStyle w:val="FirstParagraph"/>
      </w:pPr>
      <w:r>
        <w:t xml:space="preserve">Unlike generic sales reports, this analysis integrates Japan’s Financial Reporting Standards (J-GAAP) and Kyoto-specific operational nuances. Our Accountant team employs a dual-track methodology:</w:t>
      </w:r>
    </w:p>
    <w:p>
      <w:pPr>
        <w:numPr>
          <w:ilvl w:val="0"/>
          <w:numId w:val="1001"/>
        </w:numPr>
        <w:pStyle w:val="Compact"/>
      </w:pPr>
      <w:r>
        <w:rPr>
          <w:bCs/>
          <w:b/>
        </w:rPr>
        <w:t xml:space="preserve">Real-Time Data Integration:</w:t>
      </w:r>
      <w:r>
        <w:t xml:space="preserve"> </w:t>
      </w:r>
      <w:r>
        <w:t xml:space="preserve">Sales data from POS systems across Kyoto (e.g., in Nishiki Market vendors, Kiyomizu-dera temple shops, and Sakyo district offices) is aggregated via cloud accounting software compliant with Japan’s Accounting Standards Board (ASBJ) requirements.</w:t>
      </w:r>
    </w:p>
    <w:p>
      <w:pPr>
        <w:numPr>
          <w:ilvl w:val="0"/>
          <w:numId w:val="1001"/>
        </w:numPr>
        <w:pStyle w:val="Compact"/>
      </w:pPr>
      <w:r>
        <w:rPr>
          <w:bCs/>
          <w:b/>
        </w:rPr>
        <w:t xml:space="preserve">Localized Contextualization:</w:t>
      </w:r>
      <w:r>
        <w:t xml:space="preserve"> </w:t>
      </w:r>
      <w:r>
        <w:t xml:space="preserve">We adjust sales metrics for Kyoto-specific factors: seasonal tourism peaks (April–May cherry blossoms, September Obon festival), traditional business hours (e.g., tea houses closing by 18:00), and regional tax incentives like Kyoto Prefecture’s "Sustainable Tourism Initiative."</w:t>
      </w:r>
    </w:p>
    <w:p>
      <w:pPr>
        <w:pStyle w:val="FirstParagraph"/>
      </w:pPr>
      <w:r>
        <w:t xml:space="preserve">This ensures the Sales Report delivers actionable insights, not just raw numbers. For instance, in Q3, 32% of Kyoto-based clients reported sales surges during the Gion Matsuri festival—a pattern our Accountant team identified via historical data analysis to forecast future tax liabilities.</w:t>
      </w:r>
    </w:p>
    <w:bookmarkEnd w:id="21"/>
    <w:bookmarkStart w:id="22" w:name="Xa02d8ed090c32baf5bd6fffdaff71b4df506cb7"/>
    <w:p>
      <w:pPr>
        <w:pStyle w:val="Heading2"/>
      </w:pPr>
      <w:r>
        <w:t xml:space="preserve">III. Key Sales Performance Metrics: Kyoto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(¥M)</w:t>
            </w:r>
          </w:p>
        </w:tc>
        <w:tc>
          <w:tcPr/>
          <w:p>
            <w:pPr>
              <w:pStyle w:val="Compact"/>
              <w:jc w:val="left"/>
            </w:pPr>
            <w:r>
              <w:t xml:space="preserve">YoY Change</w:t>
            </w:r>
          </w:p>
        </w:tc>
        <w:tc>
          <w:tcPr/>
          <w:p>
            <w:pPr>
              <w:pStyle w:val="Compact"/>
              <w:jc w:val="left"/>
            </w:pPr>
            <w:r>
              <w:t xml:space="preserve">Kyoto-Specific Insight</w:t>
            </w:r>
          </w:p>
        </w:tc>
      </w:tr>
      <w:tr>
        <w:tc>
          <w:tcPr/>
          <w:p>
            <w:pPr>
              <w:pStyle w:val="Compact"/>
              <w:jc w:val="left"/>
            </w:pPr>
            <w:r>
              <w:t xml:space="preserve">Total Sales Revenue</w:t>
            </w:r>
          </w:p>
        </w:tc>
        <w:tc>
          <w:tcPr/>
          <w:p>
            <w:pPr>
              <w:pStyle w:val="Compact"/>
              <w:jc w:val="left"/>
            </w:pPr>
            <w:r>
              <w:t xml:space="preserve">12.5</w:t>
            </w:r>
          </w:p>
        </w:tc>
        <w:tc>
          <w:tcPr/>
          <w:p>
            <w:pPr>
              <w:pStyle w:val="Compact"/>
              <w:jc w:val="left"/>
            </w:pPr>
            <w:r>
              <w:t xml:space="preserve">+14.7%</w:t>
            </w:r>
          </w:p>
        </w:tc>
        <w:tc>
          <w:tcPr/>
          <w:p>
            <w:pPr>
              <w:pStyle w:val="Compact"/>
              <w:jc w:val="left"/>
            </w:pPr>
            <w:r>
              <w:t xml:space="preserve">Ryokans (traditional inns) saw 28% growth due to inbound tourism recovery; post-pandemic travel demand in Kyoto remains robust.</w:t>
            </w:r>
          </w:p>
        </w:tc>
      </w:tr>
      <w:tr>
        <w:tc>
          <w:tcPr/>
          <w:p>
            <w:pPr>
              <w:pStyle w:val="Compact"/>
              <w:jc w:val="left"/>
            </w:pPr>
            <w:r>
              <w:t xml:space="preserve">Service Sector Sales</w:t>
            </w:r>
          </w:p>
        </w:tc>
        <w:tc>
          <w:tcPr/>
          <w:p>
            <w:pPr>
              <w:pStyle w:val="Compact"/>
              <w:jc w:val="left"/>
            </w:pPr>
            <w:r>
              <w:t xml:space="preserve">8.9</w:t>
            </w:r>
          </w:p>
        </w:tc>
        <w:tc>
          <w:tcPr/>
          <w:p>
            <w:pPr>
              <w:pStyle w:val="Compact"/>
              <w:jc w:val="left"/>
            </w:pPr>
            <w:r>
              <w:t xml:space="preserve">+17.2%</w:t>
            </w:r>
          </w:p>
        </w:tc>
        <w:tc>
          <w:tcPr/>
          <w:p>
            <w:pPr>
              <w:pStyle w:val="Compact"/>
              <w:jc w:val="left"/>
            </w:pPr>
            <w:r>
              <w:t xml:space="preserve">Cultural experiences (tea ceremonies, kimono rentals) drove 40% of growth; requires precise revenue recognition under Japan Kyoto’s service tax code.</w:t>
            </w:r>
          </w:p>
        </w:tc>
      </w:tr>
      <w:tr>
        <w:tc>
          <w:tcPr/>
          <w:p>
            <w:pPr>
              <w:pStyle w:val="Compact"/>
              <w:jc w:val="left"/>
            </w:pPr>
            <w:r>
              <w:t xml:space="preserve">Cost of Goods Sold (COGS)</w:t>
            </w:r>
          </w:p>
        </w:tc>
        <w:tc>
          <w:tcPr/>
          <w:p>
            <w:pPr>
              <w:pStyle w:val="Compact"/>
              <w:jc w:val="left"/>
            </w:pPr>
            <w:r>
              <w:t xml:space="preserve">5.2</w:t>
            </w:r>
          </w:p>
        </w:tc>
        <w:tc>
          <w:tcPr/>
          <w:p>
            <w:pPr>
              <w:pStyle w:val="Compact"/>
              <w:jc w:val="left"/>
            </w:pPr>
            <w:r>
              <w:t xml:space="preserve">+8.3%</w:t>
            </w:r>
          </w:p>
        </w:tc>
        <w:tc>
          <w:tcPr/>
          <w:p>
            <w:pPr>
              <w:pStyle w:val="Compact"/>
              <w:jc w:val="left"/>
            </w:pPr>
            <w:r>
              <w:t xml:space="preserve">Increased costs tied to Kyoto-localized materials (e.g., matcha for tea shops); our Accountant recommended supplier diversification to mitigate inflation.</w:t>
            </w:r>
          </w:p>
        </w:tc>
      </w:tr>
      <w:tr>
        <w:tc>
          <w:tcPr/>
          <w:p>
            <w:pPr>
              <w:pStyle w:val="Compact"/>
              <w:jc w:val="left"/>
            </w:pPr>
            <w:r>
              <w:t xml:space="preserve">Net Profit Margin</w:t>
            </w:r>
          </w:p>
        </w:tc>
        <w:tc>
          <w:tcPr/>
          <w:p>
            <w:pPr>
              <w:pStyle w:val="Compact"/>
              <w:jc w:val="left"/>
            </w:pPr>
            <w:r>
              <w:t xml:space="preserve">24.1%</w:t>
            </w:r>
          </w:p>
        </w:tc>
        <w:tc>
          <w:tcPr/>
          <w:p>
            <w:pPr>
              <w:pStyle w:val="Compact"/>
              <w:jc w:val="left"/>
            </w:pPr>
            <w:r>
              <w:t xml:space="preserve">+3.5 pts</w:t>
            </w:r>
          </w:p>
        </w:tc>
        <w:tc>
          <w:tcPr/>
          <w:p>
            <w:pPr>
              <w:pStyle w:val="Compact"/>
              <w:jc w:val="left"/>
            </w:pPr>
            <w:r>
              <w:t xml:space="preserve">Improved by 6% due to tax-efficient structuring advised by our Kyoto Accountant team for clients using "Local Enterprise Tax Reductions."</w:t>
            </w:r>
          </w:p>
        </w:tc>
      </w:tr>
    </w:tbl>
    <w:bookmarkEnd w:id="22"/>
    <w:bookmarkStart w:id="23" w:name="Xedead4ea3bdddd40ef2f41d08efd98e01c0d2d6"/>
    <w:p>
      <w:pPr>
        <w:pStyle w:val="Heading2"/>
      </w:pPr>
      <w:r>
        <w:t xml:space="preserve">IV. The Accountant’s Role in Shaping Kyoto’s Sales Strategy</w:t>
      </w:r>
    </w:p>
    <w:p>
      <w:pPr>
        <w:pStyle w:val="FirstParagraph"/>
      </w:pPr>
      <w:r>
        <w:t xml:space="preserve">The distinction between a standard sales report and this Kyoto-focused document lies in the Accountant’s proactive role. Our team doesn’t merely analyze numbers—we translate them into compliance-ready, growth-oriented action for Japan Kyoto businesses:</w:t>
      </w:r>
    </w:p>
    <w:p>
      <w:pPr>
        <w:numPr>
          <w:ilvl w:val="0"/>
          <w:numId w:val="1002"/>
        </w:numPr>
        <w:pStyle w:val="Compact"/>
      </w:pPr>
      <w:r>
        <w:rPr>
          <w:bCs/>
          <w:b/>
        </w:rPr>
        <w:t xml:space="preserve">Tax Optimization:</w:t>
      </w:r>
      <w:r>
        <w:t xml:space="preserve"> </w:t>
      </w:r>
      <w:r>
        <w:t xml:space="preserve">For example, Kyoto’s "Sustainable Business Tax Credit" (applicable to eco-friendly tourism operators) was leveraged by 15+ clients in Q3. The Accountant identified eligible spend categories (e.g., energy-efficient lighting for temples), boosting net income by an average of 8.2%.</w:t>
      </w:r>
    </w:p>
    <w:p>
      <w:pPr>
        <w:numPr>
          <w:ilvl w:val="0"/>
          <w:numId w:val="1002"/>
        </w:numPr>
        <w:pStyle w:val="Compact"/>
      </w:pPr>
      <w:r>
        <w:rPr>
          <w:bCs/>
          <w:b/>
        </w:rPr>
        <w:t xml:space="preserve">Seasonal Forecasting:</w:t>
      </w:r>
      <w:r>
        <w:t xml:space="preserve"> </w:t>
      </w:r>
      <w:r>
        <w:t xml:space="preserve">Using historical Kyoto sales data, our Accountant team built predictive models for Q4. This forecasted a 19% sales dip in December (post-Christmas slowdown) but a 25% surge during the New Year’s "Oshogatsu" period—enabling clients to adjust staffing and inventory.</w:t>
      </w:r>
    </w:p>
    <w:p>
      <w:pPr>
        <w:numPr>
          <w:ilvl w:val="0"/>
          <w:numId w:val="1002"/>
        </w:numPr>
        <w:pStyle w:val="Compact"/>
      </w:pPr>
      <w:r>
        <w:rPr>
          <w:bCs/>
          <w:b/>
        </w:rPr>
        <w:t xml:space="preserve">Compliance Safeguards:</w:t>
      </w:r>
      <w:r>
        <w:t xml:space="preserve"> </w:t>
      </w:r>
      <w:r>
        <w:t xml:space="preserve">Kyoto businesses face unique challenges under Japan’s "Shinkoku System" (local tax reporting). Our Accountant team flagged 37 client accounts at risk of non-compliance during Q3, preventing potential fines exceeding ¥2.1M.</w:t>
      </w:r>
    </w:p>
    <w:bookmarkEnd w:id="23"/>
    <w:bookmarkStart w:id="24" w:name="Xa05dc30b59d83b492514a1ad26cb53083b359e0"/>
    <w:p>
      <w:pPr>
        <w:pStyle w:val="Heading2"/>
      </w:pPr>
      <w:r>
        <w:t xml:space="preserve">V. Challenges Unique to Japan Kyoto: An Accountant’s Perspective</w:t>
      </w:r>
    </w:p>
    <w:p>
      <w:pPr>
        <w:pStyle w:val="FirstParagraph"/>
      </w:pPr>
      <w:r>
        <w:t xml:space="preserve">Operating as an Accountant in Kyoto demands navigating cultural and regulatory subtleties absent in Tokyo or Osaka:</w:t>
      </w:r>
    </w:p>
    <w:p>
      <w:pPr>
        <w:numPr>
          <w:ilvl w:val="0"/>
          <w:numId w:val="1003"/>
        </w:numPr>
        <w:pStyle w:val="Compact"/>
      </w:pPr>
      <w:r>
        <w:rPr>
          <w:bCs/>
          <w:b/>
        </w:rPr>
        <w:t xml:space="preserve">Cultural Nuances:</w:t>
      </w:r>
      <w:r>
        <w:t xml:space="preserve"> </w:t>
      </w:r>
      <w:r>
        <w:t xml:space="preserve">Many Kyoto-based family businesses (e.g., 80-year-old sake breweries) rely on handwritten ledgers. Our Accountant team conducts onsite training to migrate to digital systems while respecting tradition—ensuring sales data integrity without disrupting client operations.</w:t>
      </w:r>
    </w:p>
    <w:p>
      <w:pPr>
        <w:numPr>
          <w:ilvl w:val="0"/>
          <w:numId w:val="1003"/>
        </w:numPr>
        <w:pStyle w:val="Compact"/>
      </w:pPr>
      <w:r>
        <w:rPr>
          <w:bCs/>
          <w:b/>
        </w:rPr>
        <w:t xml:space="preserve">Regional Regulations:</w:t>
      </w:r>
      <w:r>
        <w:t xml:space="preserve"> </w:t>
      </w:r>
      <w:r>
        <w:t xml:space="preserve">Kyoto’s "City Tax Assessment Guidelines" differ from national standards. A recent update required reclassification of tourism-related income for 22 clients; our Accountant team led the adjustment, avoiding a 5% revenue leakage.</w:t>
      </w:r>
    </w:p>
    <w:p>
      <w:pPr>
        <w:numPr>
          <w:ilvl w:val="0"/>
          <w:numId w:val="1003"/>
        </w:numPr>
        <w:pStyle w:val="Compact"/>
      </w:pPr>
      <w:r>
        <w:rPr>
          <w:bCs/>
          <w:b/>
        </w:rPr>
        <w:t xml:space="preserve">Tourism Volatility:</w:t>
      </w:r>
      <w:r>
        <w:t xml:space="preserve"> </w:t>
      </w:r>
      <w:r>
        <w:t xml:space="preserve">Sales spikes during festivals are unpredictable. The Accountant’s role includes advising clients on buffer accounts to manage cash flow gaps—a critical fix implemented for 9 of our top Kyoto hospitality clients.</w:t>
      </w:r>
    </w:p>
    <w:bookmarkEnd w:id="24"/>
    <w:bookmarkStart w:id="25" w:name="X8ede4151a0772d0814c5099bab4d76c2aed1d08"/>
    <w:p>
      <w:pPr>
        <w:pStyle w:val="Heading2"/>
      </w:pPr>
      <w:r>
        <w:t xml:space="preserve">VI. Recommendations: Actionable Insights for Kyoto Businesses</w:t>
      </w:r>
    </w:p>
    <w:p>
      <w:pPr>
        <w:pStyle w:val="FirstParagraph"/>
      </w:pPr>
      <w:r>
        <w:t xml:space="preserve">Based on this Sales Report, the following actions are prioritized for Japan Kyoto clients:</w:t>
      </w:r>
    </w:p>
    <w:p>
      <w:pPr>
        <w:numPr>
          <w:ilvl w:val="0"/>
          <w:numId w:val="1004"/>
        </w:numPr>
        <w:pStyle w:val="Compact"/>
      </w:pPr>
      <w:r>
        <w:rPr>
          <w:bCs/>
          <w:b/>
        </w:rPr>
        <w:t xml:space="preserve">Adopt Quarterly Tax Forecasting:</w:t>
      </w:r>
      <w:r>
        <w:t xml:space="preserve"> </w:t>
      </w:r>
      <w:r>
        <w:t xml:space="preserve">Implement monthly revenue tracking aligned with Kyoto’s tourism cycles (e.g., pre-Gion Matsuri inventory planning) to optimize tax payments.</w:t>
      </w:r>
    </w:p>
    <w:p>
      <w:pPr>
        <w:numPr>
          <w:ilvl w:val="0"/>
          <w:numId w:val="1004"/>
        </w:numPr>
        <w:pStyle w:val="Compact"/>
      </w:pPr>
      <w:r>
        <w:rPr>
          <w:bCs/>
          <w:b/>
        </w:rPr>
        <w:t xml:space="preserve">Leverage Kyoto-Specific Incentives:</w:t>
      </w:r>
      <w:r>
        <w:t xml:space="preserve"> </w:t>
      </w:r>
      <w:r>
        <w:t xml:space="preserve">Apply for the "Kyoto Cultural Preservation Grant" (up to ¥500,000/year) via our Accountant’s guidance—eligible for businesses preserving traditional crafts or hosting cultural workshops.</w:t>
      </w:r>
    </w:p>
    <w:p>
      <w:pPr>
        <w:numPr>
          <w:ilvl w:val="0"/>
          <w:numId w:val="1004"/>
        </w:numPr>
        <w:pStyle w:val="Compact"/>
      </w:pPr>
      <w:r>
        <w:rPr>
          <w:bCs/>
          <w:b/>
        </w:rPr>
        <w:t xml:space="preserve">Invest in Bilingual Sales Reporting:</w:t>
      </w:r>
      <w:r>
        <w:t xml:space="preserve"> </w:t>
      </w:r>
      <w:r>
        <w:t xml:space="preserve">For foreign-owned Kyoto enterprises, require English-Japanese sales reports (per Japan’s "Foreign Investment Promotion Act") to simplify cross-border audits.</w:t>
      </w:r>
    </w:p>
    <w:bookmarkEnd w:id="25"/>
    <w:bookmarkStart w:id="26" w:name="vii.-conclusion"/>
    <w:p>
      <w:pPr>
        <w:pStyle w:val="Heading2"/>
      </w:pPr>
      <w:r>
        <w:t xml:space="preserve">VII. Conclusion</w:t>
      </w:r>
    </w:p>
    <w:p>
      <w:pPr>
        <w:pStyle w:val="FirstParagraph"/>
      </w:pPr>
      <w:r>
        <w:t xml:space="preserve">This Quarterly Sales Report transcends typical financial documentation by embedding the Accountant’s expertise within Kyoto, Japan’s distinctive market fabric. It demonstrates how localized accounting—rooted in Kyoto’s cultural rhythms, regulatory environment, and tourism economy—is not an afterthought but a strategic engine for growth. As businesses navigate post-pandemic recovery in Japan Kyoto, our Accountant team remains committed to transforming sales data into competitive advantage through precision, compliance, and community-aware financial stewardship. The next Sales Report (Q4 2023) will deepen this analysis with real-time insights from Kyoto’s emerging "Digital Nomad" sector—a growing demographic reshaping local commerce.</w:t>
      </w:r>
    </w:p>
    <w:p>
      <w:pPr>
        <w:pStyle w:val="BodyText"/>
      </w:pPr>
      <w:r>
        <w:rPr>
          <w:iCs/>
          <w:i/>
        </w:rPr>
        <w:t xml:space="preserve">Prepared by: [Your Name], Certified Public Accountant (Japan), Kyoto Office</w:t>
      </w:r>
      <w:r>
        <w:br/>
      </w:r>
      <w:r>
        <w:rPr>
          <w:iCs/>
          <w:i/>
        </w:rPr>
        <w:t xml:space="preserve">Accounting Firm: Kyoto Financial Solutions | 142-3 Nishiki Market, Nakagyo Ward, Kyoto 604-8055,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&amp; Financial Analysis: Kyoto Accountant Perspective</dc:title>
  <dc:creator/>
  <dc:language>en</dc:language>
  <cp:keywords/>
  <dcterms:created xsi:type="dcterms:W3CDTF">2025-12-11T06:29:38Z</dcterms:created>
  <dcterms:modified xsi:type="dcterms:W3CDTF">2025-12-11T06:29:38Z</dcterms:modified>
</cp:coreProperties>
</file>

<file path=docProps/custom.xml><?xml version="1.0" encoding="utf-8"?>
<Properties xmlns="http://schemas.openxmlformats.org/officeDocument/2006/custom-properties" xmlns:vt="http://schemas.openxmlformats.org/officeDocument/2006/docPropsVTypes"/>
</file>