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Tokyo</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Accounting</w:t>
      </w:r>
      <w:r>
        <w:t xml:space="preserve"> </w:t>
      </w:r>
      <w:r>
        <w:t xml:space="preserve">Department</w:t>
      </w:r>
    </w:p>
    <w:bookmarkStart w:id="26" w:name="X4c3a2a70386c740c5d48e36646fb1f34cf78969"/>
    <w:p>
      <w:pPr>
        <w:pStyle w:val="Heading1"/>
      </w:pPr>
      <w:r>
        <w:t xml:space="preserve">Sales Performance Report: Accountant's Analysis for Japan Tokyo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Tokyo Office</w:t>
      </w:r>
      <w:r>
        <w:br/>
      </w:r>
      <w:r>
        <w:rPr>
          <w:bCs/>
          <w:b/>
        </w:rPr>
        <w:t xml:space="preserve">Prepared By:</w:t>
      </w:r>
      <w:r>
        <w:t xml:space="preserve"> </w:t>
      </w:r>
      <w:r>
        <w:t xml:space="preserve">Finance &amp; Accounting Department, Japan Tokyo Branch</w:t>
      </w:r>
    </w:p>
    <w:bookmarkStart w:id="20" w:name="i.-executive-summary"/>
    <w:p>
      <w:pPr>
        <w:pStyle w:val="Heading2"/>
      </w:pPr>
      <w:r>
        <w:t xml:space="preserve">I. Executive Summary</w:t>
      </w:r>
    </w:p>
    <w:p>
      <w:pPr>
        <w:pStyle w:val="FirstParagraph"/>
      </w:pPr>
      <w:r>
        <w:t xml:space="preserve">This comprehensive Sales Report details the financial performance of our Tokyo operations for Q3 2023, analyzed through the critical lens of an Accountant specializing in Japan's unique commercial landscape. The report confirms a 14.7% year-over-year growth in sales revenue reaching ¥187.5M (approximately USD $1.3M), driven primarily by our premium B2B service contracts in Tokyo's financial district. As the dedicated Accountant for Japan Tokyo, I have meticulously validated all figures against Japanese Generally Accepted Accounting Principles (J-GAAP) and local tax regulations, ensuring compliance with Ministry of Finance requirements. This analysis provides actionable insights for optimizing future sales strategies while maintaining stringent financial governance within Japan's complex business environment.</w:t>
      </w:r>
    </w:p>
    <w:bookmarkEnd w:id="20"/>
    <w:bookmarkStart w:id="21" w:name="ii.-key-sales-metrics-tokyo-market-focus"/>
    <w:p>
      <w:pPr>
        <w:pStyle w:val="Heading2"/>
      </w:pPr>
      <w:r>
        <w:t xml:space="preserve">II. Key Sales Metrics: Tokyo Market Focus</w:t>
      </w:r>
    </w:p>
    <w:p>
      <w:pPr>
        <w:pStyle w:val="FirstParagraph"/>
      </w:pPr>
      <w:r>
        <w:t xml:space="preserve">The Accountant's role in verifying data accuracy is paramount for this Sales Report. Our Tokyo office achieved remarkable results despite challenging market conditions, with sales growth significantly outperforming the national average of 8.3%. Below are critical metrics validated by our accounting team:</w:t>
      </w:r>
    </w:p>
    <w:p>
      <w:pPr>
        <w:pStyle w:val="BodyText"/>
      </w:pPr>
      <w:r>
        <w:t xml:space="preserve">Key Metric</w:t>
      </w:r>
    </w:p>
    <w:p>
      <w:pPr>
        <w:pStyle w:val="BodyText"/>
      </w:pPr>
      <w:r>
        <w:t xml:space="preserve">Q3 2023</w:t>
      </w:r>
    </w:p>
    <w:p>
      <w:pPr>
        <w:pStyle w:val="BodyText"/>
      </w:pPr>
      <w:r>
        <w:t xml:space="preserve">YoY Change</w:t>
      </w:r>
    </w:p>
    <w:p>
      <w:pPr>
        <w:pStyle w:val="BodyText"/>
      </w:pPr>
      <w:r>
        <w:t xml:space="preserve">Tokyo Market Context</w:t>
      </w:r>
    </w:p>
    <w:p>
      <w:pPr>
        <w:pStyle w:val="BodyText"/>
      </w:pPr>
      <w:r>
        <w:t xml:space="preserve">Sales Revenue (¥)</w:t>
      </w:r>
    </w:p>
    <w:p>
      <w:pPr>
        <w:pStyle w:val="BodyText"/>
      </w:pPr>
      <w:r>
        <w:t xml:space="preserve">187,500,000</w:t>
      </w:r>
    </w:p>
    <w:p>
      <w:pPr>
        <w:pStyle w:val="BodyText"/>
      </w:pPr>
      <w:r>
        <w:t xml:space="preserve">+14.7%</w:t>
      </w:r>
    </w:p>
    <w:p>
      <w:pPr>
        <w:pStyle w:val="BodyText"/>
      </w:pPr>
      <w:r>
        <w:t xml:space="preserve">Exceeds Tokyo Commercial Sector Avg. (8.2%)</w:t>
      </w:r>
    </w:p>
    <w:p>
      <w:pPr>
        <w:pStyle w:val="BodyText"/>
      </w:pPr>
      <w:r>
        <w:t xml:space="preserve">Gross Profit Margin</w:t>
      </w:r>
    </w:p>
    <w:p>
      <w:pPr>
        <w:pStyle w:val="BodyText"/>
      </w:pPr>
      <w:r>
        <w:t xml:space="preserve">62.3%</w:t>
      </w:r>
    </w:p>
    <w:p>
      <w:pPr>
        <w:pStyle w:val="BodyText"/>
      </w:pPr>
      <w:r>
        <w:t xml:space="preserve">+3.1% pts</w:t>
      </w:r>
    </w:p>
    <w:p>
      <w:pPr>
        <w:pStyle w:val="BodyText"/>
      </w:pPr>
      <w:r>
        <w:t xml:space="preserve">&lt;</w:t>
      </w:r>
    </w:p>
    <w:p>
      <w:pPr>
        <w:pStyle w:val="BodyText"/>
      </w:pPr>
      <w:r>
        <w:t xml:space="preserve">Optimized via tax-efficient pricing structure</w:t>
      </w:r>
    </w:p>
    <w:p>
      <w:pPr>
        <w:pStyle w:val="BodyText"/>
      </w:pPr>
      <w:r>
        <w:t xml:space="preserve">New Client Acquisition Cost (¥)</w:t>
      </w:r>
    </w:p>
    <w:p>
      <w:pPr>
        <w:pStyle w:val="BodyText"/>
      </w:pPr>
      <w:r>
        <w:t xml:space="preserve">12,800,000</w:t>
      </w:r>
    </w:p>
    <w:p>
      <w:pPr>
        <w:pStyle w:val="BodyText"/>
      </w:pPr>
      <w:r>
        <w:t xml:space="preserve">&lt;</w:t>
      </w:r>
    </w:p>
    <w:p>
      <w:pPr>
        <w:pStyle w:val="BodyText"/>
      </w:pPr>
      <w:r>
        <w:t xml:space="preserve">-9.4%</w:t>
      </w:r>
    </w:p>
    <w:p>
      <w:pPr>
        <w:pStyle w:val="BodyText"/>
      </w:pPr>
      <w:r>
        <w:t xml:space="preserve">&lt;</w:t>
      </w:r>
    </w:p>
    <w:p>
      <w:pPr>
        <w:pStyle w:val="BodyText"/>
      </w:pPr>
      <w:r>
        <w:t xml:space="preserve">Below Tokyo Industry Benchmark (15.3M)</w:t>
      </w:r>
    </w:p>
    <w:p>
      <w:pPr>
        <w:pStyle w:val="BodyText"/>
      </w:pPr>
      <w:r>
        <w:t xml:space="preserve">Client Retention Rate</w:t>
      </w:r>
    </w:p>
    <w:p>
      <w:pPr>
        <w:pStyle w:val="BodyText"/>
      </w:pPr>
      <w:r>
        <w:t xml:space="preserve">89.6%</w:t>
      </w:r>
    </w:p>
    <w:p>
      <w:pPr>
        <w:pStyle w:val="BodyText"/>
      </w:pPr>
      <w:r>
        <w:t xml:space="preserve">+5.2% pts</w:t>
      </w:r>
    </w:p>
    <w:p>
      <w:pPr>
        <w:pStyle w:val="BodyText"/>
      </w:pPr>
      <w:r>
        <w:t xml:space="preserve">&lt;</w:t>
      </w:r>
    </w:p>
    <w:p>
      <w:pPr>
        <w:pStyle w:val="BodyText"/>
      </w:pPr>
      <w:r>
        <w:t xml:space="preserve">Strong relationship management in Tokyo corporate culture</w:t>
      </w:r>
    </w:p>
    <w:p>
      <w:pPr>
        <w:pStyle w:val="BodyText"/>
      </w:pPr>
      <w:r>
        <w:t xml:space="preserve">The Accountant's reconciliation process confirmed that these figures align with Japan's Corporate Tax Act Article 7, ensuring all sales tax (consumption tax at 10%) was accurately calculated and remitted to the National Tax Agency. This compliance is non-negotiable for sustainable operations in Tokyo.</w:t>
      </w:r>
    </w:p>
    <w:bookmarkEnd w:id="21"/>
    <w:bookmarkStart w:id="22" w:name="X13e178972424e7ab4ce3dcb18fb8fc3081d4f1f"/>
    <w:p>
      <w:pPr>
        <w:pStyle w:val="Heading2"/>
      </w:pPr>
      <w:r>
        <w:t xml:space="preserve">III. Financial Analysis: Accountant's Perspective</w:t>
      </w:r>
    </w:p>
    <w:p>
      <w:pPr>
        <w:pStyle w:val="FirstParagraph"/>
      </w:pPr>
      <w:r>
        <w:t xml:space="preserve">As the primary Accountant responsible for Japan Tokyo financials, I conducted a deep-dive into sales profitability drivers. Our premium service segment (accounting software solutions) generated 68% of total revenue with exceptional margins (74.1%), directly attributable to our tailored pricing model validated through rigorous market analysis by our Tokyo-based accounting team.</w:t>
      </w:r>
    </w:p>
    <w:p>
      <w:pPr>
        <w:pStyle w:val="BodyText"/>
      </w:pPr>
      <w:r>
        <w:t xml:space="preserve">Crucially, the Accountant identified a strategic opportunity: Tokyo's business environment favors subscription models over one-time sales. By restructuring 42% of contracts into 3-year service agreements (validated against Japanese Contract Law), we've secured predictable revenue streams while reducing client churn by 17%. This structural shift—approved by our Accounting Department after cost-benefit analysis—has become a cornerstone of our Tokyo sales strategy.</w:t>
      </w:r>
    </w:p>
    <w:p>
      <w:pPr>
        <w:pStyle w:val="BodyText"/>
      </w:pPr>
      <w:r>
        <w:t xml:space="preserve">Furthermore, the Accountant's monthly tax review revealed that Tokyo-specific incentives (such as the Tokyo Metropolitan Government's "Digital Transformation Grant") have contributed ¥8.2M in tax savings on qualifying sales. This directly enhances our net profit margin and was only identified through meticulous compliance tracking—a core function of our Japan Tokyo accounting operations.</w:t>
      </w:r>
    </w:p>
    <w:bookmarkEnd w:id="22"/>
    <w:bookmarkStart w:id="23" w:name="X2dbee9958162de6d075ebd7e91a3e8f1d730df1"/>
    <w:p>
      <w:pPr>
        <w:pStyle w:val="Heading2"/>
      </w:pPr>
      <w:r>
        <w:t xml:space="preserve">IV. Challenges &amp; Accountant-Verified Solutions</w:t>
      </w:r>
    </w:p>
    <w:p>
      <w:pPr>
        <w:pStyle w:val="FirstParagraph"/>
      </w:pPr>
      <w:r>
        <w:t xml:space="preserve">Tokyo's competitive market presents unique challenges requiring accounting expertise:</w:t>
      </w:r>
    </w:p>
    <w:p>
      <w:pPr>
        <w:numPr>
          <w:ilvl w:val="0"/>
          <w:numId w:val="1001"/>
        </w:numPr>
        <w:pStyle w:val="Compact"/>
      </w:pPr>
      <w:r>
        <w:rPr>
          <w:bCs/>
          <w:b/>
        </w:rPr>
        <w:t xml:space="preserve">Currency Volatility:</w:t>
      </w:r>
      <w:r>
        <w:t xml:space="preserve"> </w:t>
      </w:r>
      <w:r>
        <w:t xml:space="preserve">Fluctuations in USD/JPY impacted sales conversions by 4.3%. The Accountant implemented real-time hedging strategies, reducing foreign exchange losses by ¥2.1M.</w:t>
      </w:r>
    </w:p>
    <w:p>
      <w:pPr>
        <w:numPr>
          <w:ilvl w:val="0"/>
          <w:numId w:val="1001"/>
        </w:numPr>
        <w:pStyle w:val="Compact"/>
      </w:pPr>
      <w:r>
        <w:rPr>
          <w:bCs/>
          <w:b/>
        </w:rPr>
        <w:t xml:space="preserve">Tax Complexity:</w:t>
      </w:r>
      <w:r>
        <w:t xml:space="preserve"> </w:t>
      </w:r>
      <w:r>
        <w:t xml:space="preserve">Multiple tax regimes across Tokyo districts (e.g., Tokyo vs. Saitama) created compliance risks. Our Accountant developed a centralized tax matrix ensuring 100% accurate filing for all 37 Tokyo-based clients.</w:t>
      </w:r>
    </w:p>
    <w:p>
      <w:pPr>
        <w:numPr>
          <w:ilvl w:val="0"/>
          <w:numId w:val="1001"/>
        </w:numPr>
        <w:pStyle w:val="Compact"/>
      </w:pPr>
      <w:r>
        <w:rPr>
          <w:bCs/>
          <w:b/>
        </w:rPr>
        <w:t xml:space="preserve">Cultural Nuances:</w:t>
      </w:r>
      <w:r>
        <w:t xml:space="preserve"> </w:t>
      </w:r>
      <w:r>
        <w:t xml:space="preserve">Traditional Japanese business practices required adapting sales terms to align with "wa" (harmony) principles. The Accountant collaborated with sales teams to revise contract language, reducing negotiation cycles by 28%.</w:t>
      </w:r>
    </w:p>
    <w:bookmarkEnd w:id="23"/>
    <w:bookmarkStart w:id="24" w:name="X7a108c0e0d7ba077a34bc4cf6dc23b784c04bb0"/>
    <w:p>
      <w:pPr>
        <w:pStyle w:val="Heading2"/>
      </w:pPr>
      <w:r>
        <w:t xml:space="preserve">V. Strategic Recommendations for Japan Tokyo Sales</w:t>
      </w:r>
    </w:p>
    <w:p>
      <w:pPr>
        <w:pStyle w:val="FirstParagraph"/>
      </w:pPr>
      <w:r>
        <w:t xml:space="preserve">Based on this Sales Report and my role as the Accountant overseeing Japan Tokyo finances, I recommend three priority actions:</w:t>
      </w:r>
    </w:p>
    <w:p>
      <w:pPr>
        <w:numPr>
          <w:ilvl w:val="0"/>
          <w:numId w:val="1002"/>
        </w:numPr>
        <w:pStyle w:val="Compact"/>
      </w:pPr>
      <w:r>
        <w:rPr>
          <w:bCs/>
          <w:b/>
        </w:rPr>
        <w:t xml:space="preserve">Expand Premium Service Bundling:</w:t>
      </w:r>
      <w:r>
        <w:t xml:space="preserve"> </w:t>
      </w:r>
      <w:r>
        <w:t xml:space="preserve">Leverage our 62.3% gross margin to create "Tokyo Financial Compliance Suites" targeting large enterprises in Marunouchi and Shimbashi districts. The Accountant projects 22% incremental revenue with minimal cost increase.</w:t>
      </w:r>
    </w:p>
    <w:p>
      <w:pPr>
        <w:numPr>
          <w:ilvl w:val="0"/>
          <w:numId w:val="1002"/>
        </w:numPr>
        <w:pStyle w:val="Compact"/>
      </w:pPr>
      <w:r>
        <w:rPr>
          <w:bCs/>
          <w:b/>
        </w:rPr>
        <w:t xml:space="preserve">Implement AI-Powered Tax Analytics:</w:t>
      </w:r>
      <w:r>
        <w:t xml:space="preserve"> </w:t>
      </w:r>
      <w:r>
        <w:t xml:space="preserve">Invest in a Japan-specific accounting AI tool (validated against National Tax Agency guidelines) to automate consumption tax calculations across Tokyo branches, reducing processing time by 35% and preventing compliance penalties.</w:t>
      </w:r>
    </w:p>
    <w:p>
      <w:pPr>
        <w:numPr>
          <w:ilvl w:val="0"/>
          <w:numId w:val="1002"/>
        </w:numPr>
        <w:pStyle w:val="Compact"/>
      </w:pPr>
      <w:r>
        <w:rPr>
          <w:bCs/>
          <w:b/>
        </w:rPr>
        <w:t xml:space="preserve">Cultivate Strategic Partnerships:</w:t>
      </w:r>
      <w:r>
        <w:t xml:space="preserve"> </w:t>
      </w:r>
      <w:r>
        <w:t xml:space="preserve">Partner with Tokyo-based financial institutions (e.g., Mitsubishi UFJ Trust &amp; Banking) for co-branded services. The Accountant's preliminary analysis shows this could capture 15% new market share within 18 months through trusted referral networks.</w:t>
      </w:r>
    </w:p>
    <w:bookmarkEnd w:id="24"/>
    <w:bookmarkStart w:id="25" w:name="Xe8781dcf13e8fba95b90b147798ddcfdddb6150"/>
    <w:p>
      <w:pPr>
        <w:pStyle w:val="Heading2"/>
      </w:pPr>
      <w:r>
        <w:t xml:space="preserve">VI. Conclusion: Accounting as a Sales Catalyst</w:t>
      </w:r>
    </w:p>
    <w:p>
      <w:pPr>
        <w:pStyle w:val="FirstParagraph"/>
      </w:pPr>
      <w:r>
        <w:t xml:space="preserve">This Sales Report underscores that an effective Accountant is not merely a financial gatekeeper but a strategic sales catalyst for Japan Tokyo operations. The seamless integration of accounting insights with sales strategy has been instrumental in our 14.7% revenue growth while maintaining 100% compliance with Japan's stringent financial regulations. As we navigate Tokyo's dynamic business ecosystem, the Accountant will remain pivotal in translating market opportunities into auditable, tax-efficient revenue streams.</w:t>
      </w:r>
    </w:p>
    <w:p>
      <w:pPr>
        <w:pStyle w:val="BodyText"/>
      </w:pPr>
      <w:r>
        <w:t xml:space="preserve">Looking ahead, I recommend quarterly Sales Report workshops between Accounting and Sales teams—mandatory for all Japan Tokyo personnel—to embed financial discipline into our growth culture. This approach has already proven its value: our Q3 profit margin improvement (from 48.1% to 52.7%) directly resulted from Accountant-led pricing adjustments discussed in these sessions.</w:t>
      </w:r>
    </w:p>
    <w:p>
      <w:pPr>
        <w:pStyle w:val="BodyText"/>
      </w:pPr>
      <w:r>
        <w:t xml:space="preserve">For the Japan Tokyo market, where reputation and regulatory adherence are paramount, this synergy between Sales Report analysis and Accountant oversight isn't just recommended—it's essential for sustainable success. The financial data presented herein reflects not only our commercial achievements but also the unwavering commitment of our Tokyo Accounting Department to operate with transparency and excellence within Japan's premier business hub.</w:t>
      </w:r>
    </w:p>
    <w:p>
      <w:pPr>
        <w:pStyle w:val="BodyText"/>
      </w:pPr>
      <w:r>
        <w:rPr>
          <w:bCs/>
          <w:b/>
        </w:rPr>
        <w:t xml:space="preserve">Accountant Signature:</w:t>
      </w:r>
      <w:r>
        <w:t xml:space="preserve"> </w:t>
      </w:r>
      <w:r>
        <w:t xml:space="preserve">A. Tanaka, CPA (Japan), Senior Financial Analyst</w:t>
      </w:r>
      <w:r>
        <w:br/>
      </w:r>
      <w:r>
        <w:rPr>
          <w:bCs/>
          <w:b/>
        </w:rPr>
        <w:t xml:space="preserve">Department:</w:t>
      </w:r>
      <w:r>
        <w:t xml:space="preserve"> </w:t>
      </w:r>
      <w:r>
        <w:t xml:space="preserve">Finance &amp; Accounting, Tokyo Branch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Tokyo Sales Performance Report - Accounting Department</dc:title>
  <dc:creator/>
  <dc:language>en</dc:language>
  <cp:keywords/>
  <dcterms:created xsi:type="dcterms:W3CDTF">2025-12-12T12:21:30Z</dcterms:created>
  <dcterms:modified xsi:type="dcterms:W3CDTF">2025-12-12T12:21:30Z</dcterms:modified>
</cp:coreProperties>
</file>

<file path=docProps/custom.xml><?xml version="1.0" encoding="utf-8"?>
<Properties xmlns="http://schemas.openxmlformats.org/officeDocument/2006/custom-properties" xmlns:vt="http://schemas.openxmlformats.org/officeDocument/2006/docPropsVTypes"/>
</file>