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Kenya</w:t>
      </w:r>
      <w:r>
        <w:t xml:space="preserve"> </w:t>
      </w:r>
      <w:r>
        <w:t xml:space="preserve">Nairobi</w:t>
      </w:r>
    </w:p>
    <w:bookmarkStart w:id="30" w:name="Xabbc67796f1d6098c3532c18d3b8851961da908"/>
    <w:p>
      <w:pPr>
        <w:pStyle w:val="Heading1"/>
      </w:pPr>
      <w:r>
        <w:t xml:space="preserve">Accountant's Comprehensive Sales Performance Report: Kenya Nairobi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Finance Department</w:t>
      </w:r>
      <w:r>
        <w:br/>
      </w:r>
      <w:r>
        <w:rPr>
          <w:bCs/>
          <w:b/>
        </w:rPr>
        <w:t xml:space="preserve">Prepared By:</w:t>
      </w:r>
      <w:r>
        <w:t xml:space="preserve"> </w:t>
      </w:r>
      <w:r>
        <w:t xml:space="preserve">[Your Name], Senior Accountant, Nairobi Office</w:t>
      </w:r>
      <w:r>
        <w:br/>
      </w:r>
      <w:r>
        <w:rPr>
          <w:bCs/>
          <w:b/>
        </w:rPr>
        <w:t xml:space="preserve">Coverage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presents a detailed analysis of sales performance for the Kenya Nairobi region, prepared from the perspective of an Accountant. As the financial steward responsible for revenue recognition, compliance, and profitability analysis within Kenya Nairobi operations, this document synthesizes critical sales data into actionable financial insights. The period under review demonstrated strong growth in key segments but also highlighted areas requiring strategic intervention to maintain fiscal health in Kenya's dynamic economic landscape.</w:t>
      </w:r>
    </w:p>
    <w:bookmarkEnd w:id="20"/>
    <w:bookmarkStart w:id="22" w:name="Xe3838bd732a76cfaea926f42b777c3a1ebe1c2f"/>
    <w:p>
      <w:pPr>
        <w:pStyle w:val="Heading2"/>
      </w:pPr>
      <w:r>
        <w:t xml:space="preserve">II. Sales Performance Overview: Nairobi Market Context</w:t>
      </w:r>
    </w:p>
    <w:p>
      <w:pPr>
        <w:pStyle w:val="FirstParagraph"/>
      </w:pPr>
      <w:r>
        <w:t xml:space="preserve">The Nairobi office achieved total sales revenue of Ksh 18.75 million during Q3 2023, representing a 14.3% year-on-year increase and surpassing the regional target by 7.8%. This growth was driven primarily by expanded service contracts with corporate clients in Westlands and Kilimani business hubs, aligning with Nairobi's status as Kenya's commercial epicenter. As the Accountant overseeing this region, it is critical to note that all sales figures are validated against KRA (Kenya Revenue Authority) e-filing standards and comply with Kenyan GAAP.</w:t>
      </w:r>
    </w:p>
    <w:bookmarkStart w:id="21" w:name="key-sales-metrics-nairobi-office"/>
    <w:p>
      <w:pPr>
        <w:pStyle w:val="Heading3"/>
      </w:pPr>
      <w:r>
        <w:t xml:space="preserve">Key Sales Metrics (Nairobi Office):</w:t>
      </w:r>
    </w:p>
    <w:p>
      <w:pPr>
        <w:numPr>
          <w:ilvl w:val="0"/>
          <w:numId w:val="1001"/>
        </w:numPr>
        <w:pStyle w:val="Compact"/>
      </w:pPr>
      <w:r>
        <w:rPr>
          <w:bCs/>
          <w:b/>
        </w:rPr>
        <w:t xml:space="preserve">Total Revenue:</w:t>
      </w:r>
      <w:r>
        <w:t xml:space="preserve"> </w:t>
      </w:r>
      <w:r>
        <w:t xml:space="preserve">Ksh 18,750,000 (vs. Target: Ksh 17,425,000)</w:t>
      </w:r>
    </w:p>
    <w:p>
      <w:pPr>
        <w:numPr>
          <w:ilvl w:val="0"/>
          <w:numId w:val="1001"/>
        </w:numPr>
        <w:pStyle w:val="Compact"/>
      </w:pPr>
      <w:r>
        <w:rPr>
          <w:bCs/>
          <w:b/>
        </w:rPr>
        <w:t xml:space="preserve">Year-on-Year Growth:</w:t>
      </w:r>
      <w:r>
        <w:t xml:space="preserve"> </w:t>
      </w:r>
      <w:r>
        <w:t xml:space="preserve">+14.3% (vs. Q3 2022: Ksh 16,415,896)</w:t>
      </w:r>
    </w:p>
    <w:p>
      <w:pPr>
        <w:numPr>
          <w:ilvl w:val="0"/>
          <w:numId w:val="1001"/>
        </w:numPr>
        <w:pStyle w:val="Compact"/>
      </w:pPr>
      <w:r>
        <w:rPr>
          <w:bCs/>
          <w:b/>
        </w:rPr>
        <w:t xml:space="preserve">Top Performing Segments:</w:t>
      </w:r>
      <w:r>
        <w:t xml:space="preserve"> </w:t>
      </w:r>
      <w:r>
        <w:t xml:space="preserve">IT Solutions (38%), Financial Advisory Services (32%), Tax Compliance Support (25%)</w:t>
      </w:r>
    </w:p>
    <w:p>
      <w:pPr>
        <w:numPr>
          <w:ilvl w:val="0"/>
          <w:numId w:val="1001"/>
        </w:numPr>
        <w:pStyle w:val="Compact"/>
      </w:pPr>
      <w:r>
        <w:rPr>
          <w:bCs/>
          <w:b/>
        </w:rPr>
        <w:t xml:space="preserve">Client Acquisition Rate:</w:t>
      </w:r>
      <w:r>
        <w:t xml:space="preserve"> </w:t>
      </w:r>
      <w:r>
        <w:t xml:space="preserve">12 new enterprise clients added in Nairobi this quarter</w:t>
      </w:r>
    </w:p>
    <w:bookmarkEnd w:id="21"/>
    <w:bookmarkEnd w:id="22"/>
    <w:bookmarkStart w:id="26" w:name="Xf9a43bb36bed964dcad360853216fcb28a336ef"/>
    <w:p>
      <w:pPr>
        <w:pStyle w:val="Heading2"/>
      </w:pPr>
      <w:r>
        <w:t xml:space="preserve">III. Accountant's Analysis of Sales Data &amp; Financial Implications</w:t>
      </w:r>
    </w:p>
    <w:p>
      <w:pPr>
        <w:pStyle w:val="FirstParagraph"/>
      </w:pPr>
      <w:r>
        <w:t xml:space="preserve">The role of the Accountant extends far beyond number-crunching; it involves interpreting sales data through a compliance and profitability lens specific to Kenya Nairobi operations.</w:t>
      </w:r>
    </w:p>
    <w:bookmarkStart w:id="23" w:name="X36918b1310d684b3277c7efcdf7e6bcd7f02d76"/>
    <w:p>
      <w:pPr>
        <w:pStyle w:val="Heading3"/>
      </w:pPr>
      <w:r>
        <w:t xml:space="preserve">A. Revenue Recognition Accuracy (Critical for Nairobi Compliance)</w:t>
      </w:r>
    </w:p>
    <w:p>
      <w:pPr>
        <w:pStyle w:val="FirstParagraph"/>
      </w:pPr>
      <w:r>
        <w:t xml:space="preserve">As the designated Accountant responsible for Kenya Nairobi financial reporting, I confirmed 100% adherence to KRA's e-invoicing guidelines (via iTax system) for all sales transactions. This prevented potential penalties of up to Ksh 50,000 per non-compliant invoice under Kenya Revenue Authority regulations. Sales revenue was accurately recognized in the correct accounting period per Kenyan tax law, ensuring no misstatement in the Nairobi branch's financial statements.</w:t>
      </w:r>
    </w:p>
    <w:bookmarkEnd w:id="23"/>
    <w:bookmarkStart w:id="24" w:name="Xc948a697a882da7bdf31452c8fceac4c09e01e3"/>
    <w:p>
      <w:pPr>
        <w:pStyle w:val="Heading3"/>
      </w:pPr>
      <w:r>
        <w:t xml:space="preserve">B. Profitability by Sales Segment (Nairobi Focus)</w:t>
      </w:r>
    </w:p>
    <w:p>
      <w:pPr>
        <w:pStyle w:val="FirstParagraph"/>
      </w:pPr>
      <w:r>
        <w:t xml:space="preserve">Analysis reveals significant margin variations across segments:</w:t>
      </w:r>
    </w:p>
    <w:p>
      <w:pPr>
        <w:numPr>
          <w:ilvl w:val="0"/>
          <w:numId w:val="1002"/>
        </w:numPr>
        <w:pStyle w:val="Compact"/>
      </w:pPr>
      <w:r>
        <w:rPr>
          <w:bCs/>
          <w:b/>
        </w:rPr>
        <w:t xml:space="preserve">IT Solutions:</w:t>
      </w:r>
      <w:r>
        <w:t xml:space="preserve"> </w:t>
      </w:r>
      <w:r>
        <w:t xml:space="preserve">48% gross margin (Strongest performer, driven by high-demand cloud services in Nairobi's tech ecosystem)</w:t>
      </w:r>
    </w:p>
    <w:p>
      <w:pPr>
        <w:numPr>
          <w:ilvl w:val="0"/>
          <w:numId w:val="1002"/>
        </w:numPr>
        <w:pStyle w:val="Compact"/>
      </w:pPr>
      <w:r>
        <w:rPr>
          <w:bCs/>
          <w:b/>
        </w:rPr>
        <w:t xml:space="preserve">Financial Advisory:</w:t>
      </w:r>
      <w:r>
        <w:t xml:space="preserve"> </w:t>
      </w:r>
      <w:r>
        <w:t xml:space="preserve">35% gross margin (Moderate growth; requires cost optimization in Nairobi operations)</w:t>
      </w:r>
    </w:p>
    <w:p>
      <w:pPr>
        <w:numPr>
          <w:ilvl w:val="0"/>
          <w:numId w:val="1002"/>
        </w:numPr>
        <w:pStyle w:val="Compact"/>
      </w:pPr>
      <w:r>
        <w:rPr>
          <w:bCs/>
          <w:b/>
        </w:rPr>
        <w:t xml:space="preserve">Tax Compliance:</w:t>
      </w:r>
      <w:r>
        <w:t xml:space="preserve"> </w:t>
      </w:r>
      <w:r>
        <w:t xml:space="preserve">28% gross margin (Lowest margin due to high labor costs for KRA filing expertise, common across Kenya Nairobi firms)</w:t>
      </w:r>
    </w:p>
    <w:p>
      <w:pPr>
        <w:pStyle w:val="FirstParagraph"/>
      </w:pPr>
      <w:r>
        <w:t xml:space="preserve">The Accountant recommends reallocating 15% of the budget from Tax Compliance to IT Solutions expansion in Nairobi, where margins directly support our regional growth strategy.</w:t>
      </w:r>
    </w:p>
    <w:bookmarkEnd w:id="24"/>
    <w:bookmarkStart w:id="25" w:name="X451b319340cb9742e6ddc9b52ed3235e87fd5c6"/>
    <w:p>
      <w:pPr>
        <w:pStyle w:val="Heading3"/>
      </w:pPr>
      <w:r>
        <w:t xml:space="preserve">C. Sales Expense Analysis &amp; Cost Control (Nairobi-Specific)</w:t>
      </w:r>
    </w:p>
    <w:p>
      <w:pPr>
        <w:pStyle w:val="FirstParagraph"/>
      </w:pPr>
      <w:r>
        <w:t xml:space="preserve">Operating expenses related to sales activities totaled Ksh 4.2 million (22.4% of revenue), within budget. Key cost drivers included:</w:t>
      </w:r>
    </w:p>
    <w:p>
      <w:pPr>
        <w:numPr>
          <w:ilvl w:val="0"/>
          <w:numId w:val="1003"/>
        </w:numPr>
        <w:pStyle w:val="Compact"/>
      </w:pPr>
      <w:r>
        <w:t xml:space="preserve">Nairobi office travel costs: +8% YoY (linked to client meetings in Karen, South C, and Industrial Area)</w:t>
      </w:r>
    </w:p>
    <w:p>
      <w:pPr>
        <w:numPr>
          <w:ilvl w:val="0"/>
          <w:numId w:val="1003"/>
        </w:numPr>
        <w:pStyle w:val="Compact"/>
      </w:pPr>
      <w:r>
        <w:t xml:space="preserve">Marketing for Nairobi events: Ksh 1.1 million (exceeded by 5% due to strategic networking at Nairobi Tech Week)</w:t>
      </w:r>
    </w:p>
    <w:p>
      <w:pPr>
        <w:numPr>
          <w:ilvl w:val="0"/>
          <w:numId w:val="1003"/>
        </w:numPr>
        <w:pStyle w:val="Compact"/>
      </w:pPr>
      <w:r>
        <w:t xml:space="preserve">Compliance costs (KRA filings): Ksh 620,000 (required investment per Kenya's tax laws)</w:t>
      </w:r>
    </w:p>
    <w:p>
      <w:pPr>
        <w:pStyle w:val="FirstParagraph"/>
      </w:pPr>
      <w:r>
        <w:t xml:space="preserve">As the Accountant for Kenya Nairobi, I implemented a vendor consolidation initiative that saved Ksh 185,000 in digital marketing expenses during Q3.</w:t>
      </w:r>
    </w:p>
    <w:bookmarkEnd w:id="25"/>
    <w:bookmarkEnd w:id="26"/>
    <w:bookmarkStart w:id="27" w:name="Xadbbdfab40f5b2d343977e9675373e045fb3daa"/>
    <w:p>
      <w:pPr>
        <w:pStyle w:val="Heading2"/>
      </w:pPr>
      <w:r>
        <w:t xml:space="preserve">IV. Key Challenges Identified: Nairobi Market Dynamics</w:t>
      </w:r>
    </w:p>
    <w:p>
      <w:pPr>
        <w:pStyle w:val="FirstParagraph"/>
      </w:pPr>
      <w:r>
        <w:t xml:space="preserve">The Accountant's report highlights three critical challenges impacting sales performance in Kenya Nairobi:</w:t>
      </w:r>
    </w:p>
    <w:p>
      <w:pPr>
        <w:numPr>
          <w:ilvl w:val="0"/>
          <w:numId w:val="1004"/>
        </w:numPr>
        <w:pStyle w:val="Compact"/>
      </w:pPr>
      <w:r>
        <w:rPr>
          <w:bCs/>
          <w:b/>
        </w:rPr>
        <w:t xml:space="preserve">Currency Volatility Impact:</w:t>
      </w:r>
      <w:r>
        <w:t xml:space="preserve"> </w:t>
      </w:r>
      <w:r>
        <w:t xml:space="preserve">7% of sales revenue from foreign clients (primarily EU contracts) faced FX fluctuations, reducing net income by Ksh 412,000. The Accountant recommends hedging strategies for future international sales.</w:t>
      </w:r>
    </w:p>
    <w:p>
      <w:pPr>
        <w:numPr>
          <w:ilvl w:val="0"/>
          <w:numId w:val="1004"/>
        </w:numPr>
        <w:pStyle w:val="Compact"/>
      </w:pPr>
      <w:r>
        <w:rPr>
          <w:bCs/>
          <w:b/>
        </w:rPr>
        <w:t xml:space="preserve">Competitive Pricing Pressure:</w:t>
      </w:r>
      <w:r>
        <w:t xml:space="preserve"> </w:t>
      </w:r>
      <w:r>
        <w:t xml:space="preserve">Local competitors in Nairobi undercut pricing on basic tax services by 12%, forcing margin compression in our lowest-performing segment.</w:t>
      </w:r>
    </w:p>
    <w:bookmarkEnd w:id="27"/>
    <w:bookmarkStart w:id="28" w:name="Xf6d7c72474c3037c1ab2b6144f3e69b6c67043a"/>
    <w:p>
      <w:pPr>
        <w:pStyle w:val="Heading2"/>
      </w:pPr>
      <w:r>
        <w:t xml:space="preserve">V. Strategic Recommendations for Kenya Nairobi Sales Growth</w:t>
      </w:r>
    </w:p>
    <w:p>
      <w:pPr>
        <w:pStyle w:val="FirstParagraph"/>
      </w:pPr>
      <w:r>
        <w:t xml:space="preserve">Based on this Accountant's comprehensive analysis of sales data and financial health:</w:t>
      </w:r>
    </w:p>
    <w:p>
      <w:pPr>
        <w:numPr>
          <w:ilvl w:val="0"/>
          <w:numId w:val="1005"/>
        </w:numPr>
        <w:pStyle w:val="Compact"/>
      </w:pPr>
      <w:r>
        <w:rPr>
          <w:bCs/>
          <w:b/>
        </w:rPr>
        <w:t xml:space="preserve">Expand High-Margin IT Solutions:</w:t>
      </w:r>
      <w:r>
        <w:t xml:space="preserve"> </w:t>
      </w:r>
      <w:r>
        <w:t xml:space="preserve">Allocate 50% of Q4 sales budget to marketing cloud services in Nairobi's new business parks (e.g., Konza City, Mombasa Road corridor).</w:t>
      </w:r>
    </w:p>
    <w:p>
      <w:pPr>
        <w:numPr>
          <w:ilvl w:val="0"/>
          <w:numId w:val="1005"/>
        </w:numPr>
        <w:pStyle w:val="Compact"/>
      </w:pPr>
      <w:r>
        <w:rPr>
          <w:bCs/>
          <w:b/>
        </w:rPr>
        <w:t xml:space="preserve">Nairobi Client Retention Program:</w:t>
      </w:r>
      <w:r>
        <w:t xml:space="preserve"> </w:t>
      </w:r>
      <w:r>
        <w:t xml:space="preserve">Implement a loyalty discount structure for existing corporate clients (20% of revenue) to counter local competition.</w:t>
      </w:r>
    </w:p>
    <w:p>
      <w:pPr>
        <w:numPr>
          <w:ilvl w:val="0"/>
          <w:numId w:val="1005"/>
        </w:numPr>
        <w:pStyle w:val="Compact"/>
      </w:pPr>
      <w:r>
        <w:rPr>
          <w:bCs/>
          <w:b/>
        </w:rPr>
        <w:t xml:space="preserve">Automate KRA Compliance Processes:</w:t>
      </w:r>
      <w:r>
        <w:t xml:space="preserve"> </w:t>
      </w:r>
      <w:r>
        <w:t xml:space="preserve">Invest Ksh 250,000 in accounting software to reduce tax filing costs by 35% in Nairobi office (saving ~Ksh 112,000 annually).</w:t>
      </w:r>
    </w:p>
    <w:p>
      <w:pPr>
        <w:numPr>
          <w:ilvl w:val="0"/>
          <w:numId w:val="1005"/>
        </w:numPr>
        <w:pStyle w:val="Compact"/>
      </w:pPr>
      <w:r>
        <w:rPr>
          <w:bCs/>
          <w:b/>
        </w:rPr>
        <w:t xml:space="preserve">Leverage Nairobi's Economic Trends:</w:t>
      </w:r>
      <w:r>
        <w:t xml:space="preserve"> </w:t>
      </w:r>
      <w:r>
        <w:t xml:space="preserve">Target growth sectors like renewable energy and agribusiness – where sales of our advisory services are surging (+29% YoY in Nairobi).</w:t>
      </w:r>
    </w:p>
    <w:bookmarkEnd w:id="28"/>
    <w:bookmarkStart w:id="29" w:name="X253dd43d7c8edea9c35ee0dbc5bad054745bddf"/>
    <w:p>
      <w:pPr>
        <w:pStyle w:val="Heading2"/>
      </w:pPr>
      <w:r>
        <w:t xml:space="preserve">VI. Conclusion: Accountant's Financial Outlook</w:t>
      </w:r>
    </w:p>
    <w:p>
      <w:pPr>
        <w:pStyle w:val="FirstParagraph"/>
      </w:pPr>
      <w:r>
        <w:t xml:space="preserve">The Kenya Nairobi office demonstrates robust sales growth, with the Accountant confirming that all financial reporting aligns precisely with Kenyan regulatory requirements. However, sustained success requires proactive margin management and strategic investment in high-growth segments like IT solutions – where Nairobi is positioned as a regional leader. This Sales Report underscores that while sales generate revenue, it is the Accountant's role within Kenya Nairobi operations to transform those numbers into sustainable profit through rigorous analysis, compliance adherence, and data-driven recommendations.</w:t>
      </w:r>
    </w:p>
    <w:p>
      <w:pPr>
        <w:pStyle w:val="BodyText"/>
      </w:pPr>
      <w:r>
        <w:t xml:space="preserve">The Accountant remains committed to providing transparent financial insights that empower strategic decisions for our Nairobi business unit. All figures herein have been validated against KRA records and internal accounting systems per the standards mandated by Kenya's Accounting and Auditing Standards Board (AASB).</w:t>
      </w:r>
    </w:p>
    <w:p>
      <w:pPr>
        <w:pStyle w:val="BodyText"/>
      </w:pPr>
      <w:r>
        <w:rPr>
          <w:bCs/>
          <w:b/>
        </w:rPr>
        <w:t xml:space="preserve">Prepared By:</w:t>
      </w:r>
      <w:r>
        <w:t xml:space="preserve"> </w:t>
      </w:r>
      <w:r>
        <w:t xml:space="preserve">[Your Name], Senior Accountant</w:t>
      </w:r>
      <w:r>
        <w:br/>
      </w:r>
      <w:r>
        <w:rPr>
          <w:bCs/>
          <w:b/>
        </w:rPr>
        <w:t xml:space="preserve">Nairobi Office:</w:t>
      </w:r>
      <w:r>
        <w:t xml:space="preserve"> </w:t>
      </w:r>
      <w:r>
        <w:t xml:space="preserve">25th Floor, The Hub Building, Waiyaki Way, Nairobi</w:t>
      </w:r>
      <w:r>
        <w:br/>
      </w:r>
      <w:r>
        <w:rPr>
          <w:bCs/>
          <w:b/>
        </w:rPr>
        <w:t xml:space="preserve">Contact:</w:t>
      </w:r>
      <w:r>
        <w:t xml:space="preserve"> </w:t>
      </w:r>
      <w:r>
        <w:t xml:space="preserve">accountant.nairobi@firm.com | +254 700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Accountant's Sales Performance Report - Kenya Nairobi</dc:title>
  <dc:creator/>
  <dc:language>en</dc:language>
  <cp:keywords/>
  <dcterms:created xsi:type="dcterms:W3CDTF">2026-07-23T09:46:35Z</dcterms:created>
  <dcterms:modified xsi:type="dcterms:W3CDTF">2026-07-23T09:46:35Z</dcterms:modified>
</cp:coreProperties>
</file>

<file path=docProps/custom.xml><?xml version="1.0" encoding="utf-8"?>
<Properties xmlns="http://schemas.openxmlformats.org/officeDocument/2006/custom-properties" xmlns:vt="http://schemas.openxmlformats.org/officeDocument/2006/docPropsVTypes"/>
</file>