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Department</w:t>
      </w:r>
    </w:p>
    <w:bookmarkStart w:id="26" w:name="Xe9dc1ed828e483eabdc7729acb2c53dd98e4470"/>
    <w:p>
      <w:pPr>
        <w:pStyle w:val="Heading1"/>
      </w:pPr>
      <w:r>
        <w:t xml:space="preserve">Kuwait City Sales Performance Report &amp; Financial Analysis</w:t>
      </w:r>
    </w:p>
    <w:p>
      <w:pPr>
        <w:pStyle w:val="FirstParagraph"/>
      </w:pPr>
      <w:r>
        <w:t xml:space="preserve">Prepared by the Accounting Department • Kuwait City, State of Kuwait • October 26, 2023</w:t>
      </w:r>
    </w:p>
    <w:bookmarkStart w:id="20" w:name="executive-summary"/>
    <w:p>
      <w:pPr>
        <w:pStyle w:val="Heading2"/>
      </w:pPr>
      <w:r>
        <w:t xml:space="preserve">Executive Summary</w:t>
      </w:r>
    </w:p>
    <w:p>
      <w:pPr>
        <w:pStyle w:val="FirstParagraph"/>
      </w:pPr>
      <w:r>
        <w:t xml:space="preserve">This comprehensive Sales Report details the financial performance of our operations across Kuwait City for Q3 2023. As the dedicated Accountant Department serving all business units in Kuwait City, we've conducted rigorous analysis to provide actionable insights for strategic decision-making. Our findings indicate a 14.7% year-over-year growth in sales revenue within Kuwait City markets, driven by strong performance in commercial services and retail partnerships. However, rising operational costs necessitate immediate financial optimization strategies from our Accountant team to maintain profitability margins.</w:t>
      </w:r>
    </w:p>
    <w:bookmarkEnd w:id="20"/>
    <w:bookmarkStart w:id="21" w:name="Xd778fed8045fdccdc6de94573a0d54609a58d4f"/>
    <w:p>
      <w:pPr>
        <w:pStyle w:val="Heading2"/>
      </w:pPr>
      <w:r>
        <w:t xml:space="preserve">Sales Performance Analysis (Kuwait City Focus)</w:t>
      </w:r>
    </w:p>
    <w:p>
      <w:pPr>
        <w:pStyle w:val="FirstParagraph"/>
      </w:pPr>
      <w:r>
        <w:t xml:space="preserve">The Sales Report reveals Kuwait City remains our most valuable market segment, contributing 68% of total regional revenue. Our Accountant team processed over 4,200 sales transactions in Kuwait City during Q3 with a total value of $18.7M USD (up from $16.3M in Q2). Key highlights include:</w:t>
      </w:r>
    </w:p>
    <w:p>
      <w:pPr>
        <w:numPr>
          <w:ilvl w:val="0"/>
          <w:numId w:val="1001"/>
        </w:numPr>
        <w:pStyle w:val="Compact"/>
      </w:pPr>
      <w:r>
        <w:rPr>
          <w:bCs/>
          <w:b/>
        </w:rPr>
        <w:t xml:space="preserve">Commercial Services Division:</w:t>
      </w:r>
      <w:r>
        <w:t xml:space="preserve"> </w:t>
      </w:r>
      <w:r>
        <w:t xml:space="preserve">Achieved 22% growth ($9.8M) due to new government contracts in Kuwait City's Central Business District</w:t>
      </w:r>
    </w:p>
    <w:p>
      <w:pPr>
        <w:numPr>
          <w:ilvl w:val="0"/>
          <w:numId w:val="1001"/>
        </w:numPr>
        <w:pStyle w:val="Compact"/>
      </w:pPr>
      <w:r>
        <w:rPr>
          <w:bCs/>
          <w:b/>
        </w:rPr>
        <w:t xml:space="preserve">Retail Partnerships:</w:t>
      </w:r>
      <w:r>
        <w:t xml:space="preserve"> </w:t>
      </w:r>
      <w:r>
        <w:t xml:space="preserve">Grew by 17% ($6.5M) through expanded distribution in Salmiya and Hawalli districts</w:t>
      </w:r>
    </w:p>
    <w:p>
      <w:pPr>
        <w:numPr>
          <w:ilvl w:val="0"/>
          <w:numId w:val="1001"/>
        </w:numPr>
        <w:pStyle w:val="Compact"/>
      </w:pPr>
      <w:r>
        <w:rPr>
          <w:bCs/>
          <w:b/>
        </w:rPr>
        <w:t xml:space="preserve">Online Sales Channel:</w:t>
      </w:r>
      <w:r>
        <w:t xml:space="preserve"> </w:t>
      </w:r>
      <w:r>
        <w:t xml:space="preserve">Increased by 34% to $2.4M, reflecting strong digital adoption in Kuwait City consumer markets</w:t>
      </w:r>
    </w:p>
    <w:p>
      <w:pPr>
        <w:pStyle w:val="FirstParagraph"/>
      </w:pPr>
      <w:r>
        <w:t xml:space="preserve">The Accountant department implemented enhanced sales tracking protocols this quarter, integrating all Kuwait City POS systems with our central ERP platform. This real-time data capture eliminated discrepancies previously reported between branch accounts and corporate financial statements—critical for maintaining accuracy in the competitive Kuwait City market.</w:t>
      </w:r>
    </w:p>
    <w:bookmarkEnd w:id="21"/>
    <w:bookmarkStart w:id="22" w:name="Xcd757e960038e651b42310cd95ac8541c94c4a3"/>
    <w:p>
      <w:pPr>
        <w:pStyle w:val="Heading2"/>
      </w:pPr>
      <w:r>
        <w:t xml:space="preserve">Financial Insights from the Accountant Perspective</w:t>
      </w:r>
    </w:p>
    <w:p>
      <w:pPr>
        <w:pStyle w:val="FirstParagraph"/>
      </w:pPr>
      <w:r>
        <w:t xml:space="preserve">As your primary Accountant team in Kuwait City, we've identified three critical financial trends requiring immediate attention:</w:t>
      </w:r>
    </w:p>
    <w:p>
      <w:pPr>
        <w:numPr>
          <w:ilvl w:val="0"/>
          <w:numId w:val="1002"/>
        </w:numPr>
        <w:pStyle w:val="Compact"/>
      </w:pPr>
      <w:r>
        <w:rPr>
          <w:bCs/>
          <w:b/>
        </w:rPr>
        <w:t xml:space="preserve">Margin Compression:</w:t>
      </w:r>
      <w:r>
        <w:t xml:space="preserve"> </w:t>
      </w:r>
      <w:r>
        <w:t xml:space="preserve">Rising import costs (up 18% YoY) are eroding gross margins. Our Accountant analysis shows average profit margin at 24.3%, below the target of 30%. We recommend renegotiating supplier contracts with local Kuwait City vendors to reduce landed costs.</w:t>
      </w:r>
    </w:p>
    <w:p>
      <w:pPr>
        <w:numPr>
          <w:ilvl w:val="0"/>
          <w:numId w:val="1002"/>
        </w:numPr>
        <w:pStyle w:val="Compact"/>
      </w:pPr>
      <w:r>
        <w:rPr>
          <w:bCs/>
          <w:b/>
        </w:rPr>
        <w:t xml:space="preserve">Accounts Receivable Aging:</w:t>
      </w:r>
      <w:r>
        <w:t xml:space="preserve"> </w:t>
      </w:r>
      <w:r>
        <w:t xml:space="preserve">19% of Kuwait City receivables are past due (vs. industry average of 8%). Our Accountant team has initiated a collection strategy targeting commercial clients in Al-Shuwaikh industrial zone, expected to recover $370K within 60 days.</w:t>
      </w:r>
    </w:p>
    <w:p>
      <w:pPr>
        <w:numPr>
          <w:ilvl w:val="0"/>
          <w:numId w:val="1002"/>
        </w:numPr>
        <w:pStyle w:val="Compact"/>
      </w:pPr>
      <w:r>
        <w:rPr>
          <w:bCs/>
          <w:b/>
        </w:rPr>
        <w:t xml:space="preserve">Operational Cost Inflation:</w:t>
      </w:r>
      <w:r>
        <w:t xml:space="preserve"> </w:t>
      </w:r>
      <w:r>
        <w:t xml:space="preserve">Utility costs in Kuwait City increased by 22% due to extreme summer temperatures. The Accountant department has prepared a revised budget allocation for energy-efficient infrastructure in our Kuwait City warehouses.</w:t>
      </w:r>
    </w:p>
    <w:p>
      <w:pPr>
        <w:pStyle w:val="FirstParagraph"/>
      </w:pPr>
      <w:r>
        <w:t xml:space="preserve">The Sales Report demonstrates that our market share growth is outpacing industry benchmarks (12.4% vs. national average of 9.1%), but this momentum requires financial discipline to sustain. Our Accountant team has developed a predictive model linking sales volume to working capital requirements specific to Kuwait City's economic climate.</w:t>
      </w:r>
    </w:p>
    <w:bookmarkEnd w:id="22"/>
    <w:bookmarkStart w:id="23" w:name="X390d8d6be1217eeaf258448b851a92cf661cf23"/>
    <w:p>
      <w:pPr>
        <w:pStyle w:val="Heading2"/>
      </w:pPr>
      <w:r>
        <w:t xml:space="preserve">Kuwait City Market Challenges &amp; Opportunities</w:t>
      </w:r>
    </w:p>
    <w:p>
      <w:pPr>
        <w:pStyle w:val="FirstParagraph"/>
      </w:pPr>
      <w:r>
        <w:t xml:space="preserve">Operating within Kuwait City presents unique dynamics our Accountant department monitors closely. Recent regulatory changes by the Central Bank of Kuwait have increased compliance requirements for financial reporting. Our Sales Report highlights these challenges:</w:t>
      </w:r>
    </w:p>
    <w:p>
      <w:pPr>
        <w:numPr>
          <w:ilvl w:val="0"/>
          <w:numId w:val="1003"/>
        </w:numPr>
        <w:pStyle w:val="Compact"/>
      </w:pPr>
      <w:r>
        <w:rPr>
          <w:iCs/>
          <w:i/>
        </w:rPr>
        <w:t xml:space="preserve">Competition Pressure:</w:t>
      </w:r>
      <w:r>
        <w:t xml:space="preserve"> </w:t>
      </w:r>
      <w:r>
        <w:t xml:space="preserve">New entrants in Kuwait City's retail sector have intensified price competition, forcing sales teams to offer discounts that impact profitability</w:t>
      </w:r>
    </w:p>
    <w:p>
      <w:pPr>
        <w:numPr>
          <w:ilvl w:val="0"/>
          <w:numId w:val="1003"/>
        </w:numPr>
        <w:pStyle w:val="Compact"/>
      </w:pPr>
      <w:r>
        <w:rPr>
          <w:iCs/>
          <w:i/>
        </w:rPr>
        <w:t xml:space="preserve">Seasonality Impact:</w:t>
      </w:r>
      <w:r>
        <w:t xml:space="preserve"> </w:t>
      </w:r>
      <w:r>
        <w:t xml:space="preserve">The Hajj period caused a 17% dip in non-essential sales during August, requiring our Accountant team to adjust cash flow forecasts quarterly</w:t>
      </w:r>
    </w:p>
    <w:p>
      <w:pPr>
        <w:numPr>
          <w:ilvl w:val="0"/>
          <w:numId w:val="1003"/>
        </w:numPr>
        <w:pStyle w:val="Compact"/>
      </w:pPr>
      <w:r>
        <w:rPr>
          <w:iCs/>
          <w:i/>
        </w:rPr>
        <w:t xml:space="preserve">Digital Transformation:</w:t>
      </w:r>
      <w:r>
        <w:t xml:space="preserve"> </w:t>
      </w:r>
      <w:r>
        <w:t xml:space="preserve">Kuwait City's rapid adoption of e-commerce (34% growth) requires new accounting protocols for digital transaction verification</w:t>
      </w:r>
    </w:p>
    <w:p>
      <w:pPr>
        <w:pStyle w:val="FirstParagraph"/>
      </w:pPr>
      <w:r>
        <w:t xml:space="preserve">Conversely, we've identified three high-potential opportunities in Kuwait City:</w:t>
      </w:r>
    </w:p>
    <w:p>
      <w:pPr>
        <w:numPr>
          <w:ilvl w:val="0"/>
          <w:numId w:val="1004"/>
        </w:numPr>
        <w:pStyle w:val="Compact"/>
      </w:pPr>
      <w:r>
        <w:t xml:space="preserve">Government tenders through the National Development Fund (NDF) for commercial infrastructure projects</w:t>
      </w:r>
    </w:p>
    <w:p>
      <w:pPr>
        <w:numPr>
          <w:ilvl w:val="0"/>
          <w:numId w:val="1004"/>
        </w:numPr>
        <w:pStyle w:val="Compact"/>
      </w:pPr>
      <w:r>
        <w:t xml:space="preserve">Partnerships with Kuwait City-based SMEs seeking financial automation solutions</w:t>
      </w:r>
    </w:p>
    <w:bookmarkEnd w:id="23"/>
    <w:bookmarkStart w:id="24" w:name="accountant-department-recommendations"/>
    <w:p>
      <w:pPr>
        <w:pStyle w:val="Heading2"/>
      </w:pPr>
      <w:r>
        <w:t xml:space="preserve">Accountant Department Recommendations</w:t>
      </w:r>
    </w:p>
    <w:p>
      <w:pPr>
        <w:pStyle w:val="FirstParagraph"/>
      </w:pPr>
      <w:r>
        <w:t xml:space="preserve">Based on our financial analysis of Kuwait City sales data, we propose these action items:</w:t>
      </w:r>
    </w:p>
    <w:p>
      <w:pPr>
        <w:numPr>
          <w:ilvl w:val="0"/>
          <w:numId w:val="1005"/>
        </w:numPr>
        <w:pStyle w:val="Compact"/>
      </w:pPr>
      <w:r>
        <w:rPr>
          <w:bCs/>
          <w:b/>
        </w:rPr>
        <w:t xml:space="preserve">Implement Tiered Pricing Structure:</w:t>
      </w:r>
      <w:r>
        <w:t xml:space="preserve"> </w:t>
      </w:r>
      <w:r>
        <w:t xml:space="preserve">Introduce value-based pricing for Kuwait City commercial clients to maintain margins without compromising competitiveness</w:t>
      </w:r>
    </w:p>
    <w:p>
      <w:pPr>
        <w:numPr>
          <w:ilvl w:val="0"/>
          <w:numId w:val="1005"/>
        </w:numPr>
        <w:pStyle w:val="Compact"/>
      </w:pPr>
      <w:r>
        <w:rPr>
          <w:bCs/>
          <w:b/>
        </w:rPr>
        <w:t xml:space="preserve">Accelerate Digital Onboarding:</w:t>
      </w:r>
      <w:r>
        <w:t xml:space="preserve"> </w:t>
      </w:r>
      <w:r>
        <w:t xml:space="preserve">Launch a mobile sales portal for Kuwait City distributors, reducing processing time by 35% per our Accountant cost-benefit analysis</w:t>
      </w:r>
    </w:p>
    <w:p>
      <w:pPr>
        <w:numPr>
          <w:ilvl w:val="0"/>
          <w:numId w:val="1005"/>
        </w:numPr>
        <w:pStyle w:val="Compact"/>
      </w:pPr>
      <w:r>
        <w:rPr>
          <w:bCs/>
          <w:b/>
        </w:rPr>
        <w:t xml:space="preserve">Create Dedicated Kuwait City Financial Dashboard:</w:t>
      </w:r>
      <w:r>
        <w:t xml:space="preserve"> </w:t>
      </w:r>
      <w:r>
        <w:t xml:space="preserve">Real-time visibility into sales performance metrics across all Kuwait City branches (currently being developed by our Accountant team)</w:t>
      </w:r>
    </w:p>
    <w:p>
      <w:pPr>
        <w:numPr>
          <w:ilvl w:val="0"/>
          <w:numId w:val="1005"/>
        </w:numPr>
        <w:pStyle w:val="Compact"/>
      </w:pPr>
      <w:r>
        <w:rPr>
          <w:bCs/>
          <w:b/>
        </w:rPr>
        <w:t xml:space="preserve">Establish Quarterly Sales-Finance Workshops:</w:t>
      </w:r>
      <w:r>
        <w:t xml:space="preserve"> </w:t>
      </w:r>
      <w:r>
        <w:t xml:space="preserve">Monthly alignment sessions between sales teams and Accountant department to forecast cash flow needs in Kuwait City markets</w:t>
      </w:r>
    </w:p>
    <w:bookmarkEnd w:id="24"/>
    <w:bookmarkStart w:id="25" w:name="conclusion"/>
    <w:p>
      <w:pPr>
        <w:pStyle w:val="Heading2"/>
      </w:pPr>
      <w:r>
        <w:t xml:space="preserve">Conclusion</w:t>
      </w:r>
    </w:p>
    <w:p>
      <w:pPr>
        <w:pStyle w:val="FirstParagraph"/>
      </w:pPr>
      <w:r>
        <w:t xml:space="preserve">This Sales Report underscores that our Accountant department's financial stewardship is fundamental to sustaining growth in Kuwait City. As the economic landscape evolves, particularly with Kuwait Vision 2035 initiatives accelerating commercial activity in Kuwait City, precise financial management becomes non-negotiable. Our analysis confirms that while sales momentum is strong, profitability requires the strategic interventions we've outlined.</w:t>
      </w:r>
    </w:p>
    <w:p>
      <w:pPr>
        <w:pStyle w:val="BodyText"/>
      </w:pPr>
      <w:r>
        <w:t xml:space="preserve">We recommend immediate approval of the proposed cost optimization measures for Q4. The Accountant team will provide weekly progress updates on these initiatives within our Kuwait City operations. This Sales Report exemplifies how financial insights drive sustainable growth—proving that an effective Accountant department isn't merely a back-office function, but the strategic engine behind our market success in Kuwait City.</w:t>
      </w:r>
    </w:p>
    <w:p>
      <w:pPr>
        <w:pStyle w:val="BodyText"/>
      </w:pPr>
      <w:r>
        <w:t xml:space="preserve">Prepared by: Fatima Al-Suwaidi, Senior Accountant • Accounting Department • Kuwait City</w:t>
      </w:r>
      <w:r>
        <w:br/>
      </w:r>
      <w:r>
        <w:t xml:space="preserve">Contact: fatima.alsuwaidi@company.com | +965 2288 1234</w:t>
      </w:r>
    </w:p>
    <w:p>
      <w:pPr>
        <w:pStyle w:val="BodyText"/>
      </w:pPr>
      <w:r>
        <w:t xml:space="preserve">Confidential - For Internal Use Only • This Sales Report complies with Kuwait Commercial Law No. 12 of 2017 • Accountant Department Audit Trail ID: KUW-AR-2023-Q3</w:t>
      </w:r>
      <w:r>
        <w:br/>
      </w:r>
      <w:r>
        <w:t xml:space="preserve">Copyright © 2023 [Company Name] -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Sales Performance Report - Accountant Department</dc:title>
  <dc:creator/>
  <dc:language>en</dc:language>
  <cp:keywords/>
  <dcterms:created xsi:type="dcterms:W3CDTF">2026-07-23T16:46:44Z</dcterms:created>
  <dcterms:modified xsi:type="dcterms:W3CDTF">2026-07-23T16:46:44Z</dcterms:modified>
</cp:coreProperties>
</file>

<file path=docProps/custom.xml><?xml version="1.0" encoding="utf-8"?>
<Properties xmlns="http://schemas.openxmlformats.org/officeDocument/2006/custom-properties" xmlns:vt="http://schemas.openxmlformats.org/officeDocument/2006/docPropsVTypes"/>
</file>